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F73" w:rsidRPr="00A217F4" w:rsidRDefault="00877EA4" w:rsidP="00BC1378">
      <w:pPr>
        <w:pStyle w:val="Nagwek1"/>
        <w:spacing w:line="276" w:lineRule="auto"/>
        <w:ind w:left="0"/>
        <w:rPr>
          <w:rFonts w:asciiTheme="minorHAnsi" w:hAnsiTheme="minorHAnsi"/>
          <w:b w:val="0"/>
          <w:bCs w:val="0"/>
          <w:sz w:val="20"/>
        </w:rPr>
      </w:pPr>
      <w:r>
        <w:rPr>
          <w:rFonts w:asciiTheme="minorHAnsi" w:hAnsiTheme="minorHAnsi"/>
          <w:b w:val="0"/>
          <w:bCs w:val="0"/>
          <w:sz w:val="20"/>
        </w:rPr>
        <w:t>0</w:t>
      </w:r>
      <w:r w:rsidR="001557A6">
        <w:rPr>
          <w:rFonts w:asciiTheme="minorHAnsi" w:hAnsiTheme="minorHAnsi"/>
          <w:b w:val="0"/>
          <w:bCs w:val="0"/>
          <w:sz w:val="20"/>
        </w:rPr>
        <w:t>6.11</w:t>
      </w:r>
      <w:r w:rsidR="00881459">
        <w:rPr>
          <w:rFonts w:asciiTheme="minorHAnsi" w:hAnsiTheme="minorHAnsi"/>
          <w:b w:val="0"/>
          <w:bCs w:val="0"/>
          <w:sz w:val="20"/>
        </w:rPr>
        <w:t>.201</w:t>
      </w:r>
      <w:r w:rsidR="001557A6">
        <w:rPr>
          <w:rFonts w:asciiTheme="minorHAnsi" w:hAnsiTheme="minorHAnsi"/>
          <w:b w:val="0"/>
          <w:bCs w:val="0"/>
          <w:sz w:val="20"/>
        </w:rPr>
        <w:t>7</w:t>
      </w:r>
    </w:p>
    <w:p w:rsidR="006A2F73" w:rsidRPr="00A217F4" w:rsidRDefault="006A2F73" w:rsidP="00BC1378">
      <w:pPr>
        <w:pStyle w:val="Nagwek1"/>
        <w:spacing w:line="276" w:lineRule="auto"/>
        <w:ind w:left="0"/>
        <w:rPr>
          <w:rFonts w:asciiTheme="minorHAnsi" w:hAnsiTheme="minorHAnsi" w:cs="Arial"/>
          <w:b w:val="0"/>
          <w:bCs w:val="0"/>
          <w:sz w:val="22"/>
          <w:szCs w:val="22"/>
        </w:rPr>
      </w:pPr>
      <w:r w:rsidRPr="00A217F4">
        <w:rPr>
          <w:rFonts w:asciiTheme="minorHAnsi" w:hAnsiTheme="minorHAnsi" w:cs="Arial"/>
          <w:b w:val="0"/>
          <w:bCs w:val="0"/>
          <w:sz w:val="20"/>
          <w:szCs w:val="22"/>
        </w:rPr>
        <w:t>Informacja prasowa portalu</w:t>
      </w:r>
    </w:p>
    <w:p w:rsidR="006A2F73" w:rsidRPr="00A217F4" w:rsidRDefault="00884F06" w:rsidP="00BC1378">
      <w:pPr>
        <w:spacing w:line="276" w:lineRule="auto"/>
        <w:rPr>
          <w:rFonts w:asciiTheme="minorHAnsi" w:hAnsiTheme="minorHAnsi" w:cs="Arial"/>
          <w:sz w:val="22"/>
          <w:szCs w:val="22"/>
        </w:rPr>
      </w:pPr>
      <w:r w:rsidRPr="00A217F4">
        <w:rPr>
          <w:rFonts w:asciiTheme="minorHAnsi" w:hAnsiTheme="minorHAnsi"/>
          <w:noProof/>
          <w:lang w:eastAsia="pl-PL"/>
        </w:rPr>
        <w:drawing>
          <wp:inline distT="0" distB="0" distL="0" distR="0">
            <wp:extent cx="1466850" cy="219075"/>
            <wp:effectExtent l="19050" t="0" r="0" b="0"/>
            <wp:docPr id="1" name="Obraz 1" descr="wynagrodzeni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ynagrodzenia_logo"/>
                    <pic:cNvPicPr>
                      <a:picLocks noChangeAspect="1" noChangeArrowheads="1"/>
                    </pic:cNvPicPr>
                  </pic:nvPicPr>
                  <pic:blipFill>
                    <a:blip r:embed="rId8" cstate="print"/>
                    <a:srcRect/>
                    <a:stretch>
                      <a:fillRect/>
                    </a:stretch>
                  </pic:blipFill>
                  <pic:spPr bwMode="auto">
                    <a:xfrm>
                      <a:off x="0" y="0"/>
                      <a:ext cx="1466850" cy="219075"/>
                    </a:xfrm>
                    <a:prstGeom prst="rect">
                      <a:avLst/>
                    </a:prstGeom>
                    <a:noFill/>
                    <a:ln w="9525">
                      <a:noFill/>
                      <a:miter lim="800000"/>
                      <a:headEnd/>
                      <a:tailEnd/>
                    </a:ln>
                  </pic:spPr>
                </pic:pic>
              </a:graphicData>
            </a:graphic>
          </wp:inline>
        </w:drawing>
      </w:r>
    </w:p>
    <w:p w:rsidR="006D03DA" w:rsidRPr="00A217F4" w:rsidRDefault="006D03DA" w:rsidP="00BC1378">
      <w:pPr>
        <w:pStyle w:val="Tekstpodstawowy2"/>
        <w:tabs>
          <w:tab w:val="left" w:pos="7560"/>
        </w:tabs>
        <w:spacing w:line="276" w:lineRule="auto"/>
        <w:rPr>
          <w:rFonts w:asciiTheme="minorHAnsi" w:hAnsiTheme="minorHAnsi"/>
          <w:b/>
          <w:bCs/>
        </w:rPr>
      </w:pPr>
      <w:r w:rsidRPr="00A217F4">
        <w:rPr>
          <w:rFonts w:asciiTheme="minorHAnsi" w:hAnsiTheme="minorHAnsi"/>
          <w:b/>
          <w:bCs/>
        </w:rPr>
        <w:t>Pytania i dodatkowe informacje:</w:t>
      </w:r>
    </w:p>
    <w:p w:rsidR="006D03DA" w:rsidRPr="00A217F4" w:rsidRDefault="006D03DA" w:rsidP="00BC1378">
      <w:pPr>
        <w:pStyle w:val="Tekstpodstawowy2"/>
        <w:tabs>
          <w:tab w:val="left" w:pos="7560"/>
        </w:tabs>
        <w:spacing w:line="276" w:lineRule="auto"/>
        <w:rPr>
          <w:rFonts w:asciiTheme="minorHAnsi" w:hAnsiTheme="minorHAnsi"/>
        </w:rPr>
      </w:pPr>
      <w:r w:rsidRPr="00A217F4">
        <w:rPr>
          <w:rFonts w:asciiTheme="minorHAnsi" w:hAnsiTheme="minorHAnsi"/>
        </w:rPr>
        <w:t xml:space="preserve">tel. </w:t>
      </w:r>
      <w:r w:rsidR="00DE45D2" w:rsidRPr="00A217F4">
        <w:rPr>
          <w:rFonts w:asciiTheme="minorHAnsi" w:hAnsiTheme="minorHAnsi"/>
        </w:rPr>
        <w:t>509 509</w:t>
      </w:r>
      <w:r w:rsidR="00BE15EA" w:rsidRPr="00A217F4">
        <w:rPr>
          <w:rFonts w:asciiTheme="minorHAnsi" w:hAnsiTheme="minorHAnsi"/>
        </w:rPr>
        <w:t> </w:t>
      </w:r>
      <w:r w:rsidR="00DE45D2" w:rsidRPr="00A217F4">
        <w:rPr>
          <w:rFonts w:asciiTheme="minorHAnsi" w:hAnsiTheme="minorHAnsi"/>
        </w:rPr>
        <w:t>536</w:t>
      </w:r>
    </w:p>
    <w:p w:rsidR="001557A6" w:rsidRDefault="001557A6" w:rsidP="001557A6">
      <w:pPr>
        <w:pStyle w:val="Tekstpodstawowy"/>
        <w:tabs>
          <w:tab w:val="left" w:pos="3686"/>
          <w:tab w:val="left" w:pos="7560"/>
        </w:tabs>
        <w:spacing w:line="276" w:lineRule="auto"/>
        <w:jc w:val="right"/>
        <w:rPr>
          <w:rStyle w:val="Hipercze"/>
          <w:rFonts w:asciiTheme="minorHAnsi" w:hAnsiTheme="minorHAnsi" w:cs="Arial"/>
          <w:b w:val="0"/>
          <w:sz w:val="20"/>
        </w:rPr>
      </w:pPr>
      <w:hyperlink r:id="rId9" w:history="1">
        <w:r w:rsidR="006D03DA" w:rsidRPr="00A217F4">
          <w:rPr>
            <w:rStyle w:val="Hipercze"/>
            <w:rFonts w:asciiTheme="minorHAnsi" w:hAnsiTheme="minorHAnsi" w:cs="Arial"/>
            <w:b w:val="0"/>
            <w:sz w:val="20"/>
          </w:rPr>
          <w:t>media@sedlak.pl</w:t>
        </w:r>
      </w:hyperlink>
    </w:p>
    <w:p w:rsidR="001557A6" w:rsidRPr="00A217F4" w:rsidRDefault="001557A6" w:rsidP="00BC1378">
      <w:pPr>
        <w:pStyle w:val="Tekstpodstawowy"/>
        <w:tabs>
          <w:tab w:val="left" w:pos="3686"/>
          <w:tab w:val="left" w:pos="7560"/>
        </w:tabs>
        <w:spacing w:line="276" w:lineRule="auto"/>
        <w:jc w:val="right"/>
        <w:rPr>
          <w:rFonts w:asciiTheme="minorHAnsi" w:hAnsiTheme="minorHAnsi" w:cs="Arial"/>
          <w:b w:val="0"/>
          <w:color w:val="000080"/>
          <w:sz w:val="20"/>
        </w:rPr>
      </w:pPr>
    </w:p>
    <w:p w:rsidR="001557A6" w:rsidRPr="001557A6" w:rsidRDefault="001557A6" w:rsidP="001557A6">
      <w:pPr>
        <w:spacing w:line="259" w:lineRule="auto"/>
        <w:jc w:val="center"/>
        <w:outlineLvl w:val="0"/>
        <w:rPr>
          <w:rFonts w:ascii="Calibri" w:hAnsi="Calibri"/>
          <w:b/>
          <w:bCs/>
          <w:caps/>
          <w:color w:val="002060"/>
          <w:kern w:val="36"/>
          <w:sz w:val="32"/>
          <w:szCs w:val="32"/>
          <w:lang w:eastAsia="en-AU"/>
        </w:rPr>
      </w:pPr>
      <w:r w:rsidRPr="001557A6">
        <w:rPr>
          <w:rFonts w:ascii="Calibri" w:hAnsi="Calibri"/>
          <w:b/>
          <w:bCs/>
          <w:caps/>
          <w:color w:val="002060"/>
          <w:kern w:val="36"/>
          <w:sz w:val="32"/>
          <w:szCs w:val="32"/>
          <w:lang w:eastAsia="en-AU"/>
        </w:rPr>
        <w:t>Zarobki i koszty życia w Danii</w:t>
      </w:r>
    </w:p>
    <w:p w:rsidR="001557A6" w:rsidRPr="001557A6" w:rsidRDefault="001557A6" w:rsidP="001557A6">
      <w:pPr>
        <w:spacing w:line="259" w:lineRule="auto"/>
        <w:jc w:val="center"/>
        <w:outlineLvl w:val="0"/>
        <w:rPr>
          <w:rFonts w:ascii="Calibri" w:hAnsi="Calibri"/>
          <w:b/>
          <w:bCs/>
          <w:caps/>
          <w:color w:val="002060"/>
          <w:kern w:val="36"/>
          <w:sz w:val="32"/>
          <w:szCs w:val="32"/>
          <w:lang w:eastAsia="en-AU"/>
        </w:rPr>
      </w:pPr>
    </w:p>
    <w:p w:rsidR="001557A6" w:rsidRPr="001557A6" w:rsidRDefault="001557A6" w:rsidP="001557A6">
      <w:pPr>
        <w:spacing w:after="160" w:line="259" w:lineRule="auto"/>
        <w:jc w:val="both"/>
        <w:rPr>
          <w:rFonts w:ascii="Calibri" w:eastAsia="Calibri" w:hAnsi="Calibri"/>
          <w:b/>
        </w:rPr>
      </w:pPr>
      <w:r w:rsidRPr="001557A6">
        <w:rPr>
          <w:rFonts w:ascii="Calibri" w:eastAsia="Calibri" w:hAnsi="Calibri"/>
          <w:b/>
        </w:rPr>
        <w:t xml:space="preserve">Dania zmaga się obecnie z deficytem wykwalifikowanych pracowników. Może to być okazja dla pracowników z Europy Środkowo-Wschodniej, emigrujących w poszukiwaniu lepiej płatnej pracy, zwłaszcza że wynagrodzenia w Danii należą do najwyższych na świecie. </w:t>
      </w:r>
    </w:p>
    <w:p w:rsidR="001557A6" w:rsidRPr="001557A6" w:rsidRDefault="001557A6" w:rsidP="001557A6">
      <w:pPr>
        <w:spacing w:after="160" w:line="259" w:lineRule="auto"/>
        <w:jc w:val="both"/>
        <w:rPr>
          <w:rFonts w:ascii="Calibri" w:eastAsia="Calibri" w:hAnsi="Calibri"/>
          <w:b/>
        </w:rPr>
      </w:pPr>
    </w:p>
    <w:p w:rsidR="001557A6" w:rsidRPr="001557A6" w:rsidRDefault="001557A6" w:rsidP="001557A6">
      <w:pPr>
        <w:spacing w:line="259" w:lineRule="auto"/>
        <w:jc w:val="both"/>
        <w:rPr>
          <w:rFonts w:ascii="Calibri" w:eastAsia="Calibri" w:hAnsi="Calibri"/>
          <w:b/>
          <w:color w:val="1F497D"/>
          <w:sz w:val="26"/>
          <w:szCs w:val="26"/>
        </w:rPr>
      </w:pPr>
      <w:r w:rsidRPr="001557A6">
        <w:rPr>
          <w:rFonts w:ascii="Calibri" w:eastAsia="Calibri" w:hAnsi="Calibri"/>
          <w:b/>
          <w:color w:val="1F497D"/>
          <w:sz w:val="26"/>
          <w:szCs w:val="26"/>
        </w:rPr>
        <w:t>Warunki pracy w Danii</w:t>
      </w:r>
    </w:p>
    <w:p w:rsidR="001557A6" w:rsidRPr="001557A6" w:rsidRDefault="001557A6" w:rsidP="001557A6">
      <w:pPr>
        <w:spacing w:after="160" w:line="259" w:lineRule="auto"/>
        <w:jc w:val="both"/>
        <w:rPr>
          <w:rFonts w:ascii="Calibri" w:eastAsia="Calibri" w:hAnsi="Calibri"/>
        </w:rPr>
      </w:pPr>
      <w:r w:rsidRPr="001557A6">
        <w:rPr>
          <w:rFonts w:ascii="Calibri" w:eastAsia="Calibri" w:hAnsi="Calibri"/>
        </w:rPr>
        <w:t>Z perspektywy pracownika przyzwyczajonego do realiów polskiego rynku pracy, Dania jest specyficznym krajem. Nie posiada jednolitego kodeksu pracy, nawet płaca minimalna nie jest odgórnie ustalona. Wszystkie regulacje dotyczące czasu pracy, długości urlopu, wieku emerytalnego, zarobków czy okresu wypowiedzenia ustalane są na mocy porozumień między Duńską Konfederacją Pracodawców a Duńską Federacją Związków Z</w:t>
      </w:r>
      <w:bookmarkStart w:id="0" w:name="_GoBack"/>
      <w:bookmarkEnd w:id="0"/>
      <w:r w:rsidRPr="001557A6">
        <w:rPr>
          <w:rFonts w:ascii="Calibri" w:eastAsia="Calibri" w:hAnsi="Calibri"/>
        </w:rPr>
        <w:t xml:space="preserve">awodowych. Z drugiej strony, istnieje prawny zapis dbający o interesy obcokrajowców, stanowiący, że nie mogą oni otrzymywać wynagrodzeń niższych niż zatrudnieni na podobnych stanowiskach Duńczycy. Dania jest również krajem, w którym przykłada się uwagę do utrzymywania równowagi między pracą a życiem prywatnym. Według Duńskiego Urzędu Statystycznego zatrudnieni na pełen etat przepracowują średnio 38,6 godzin w tygodniu. To o 2,4 godziny mniej niż wynosi europejska średnia. Jedynie Francuzi i Słowacy pracują krócej. Ponadto pracownikom zatrudnionym na etacie przysługuje pięć tygodni płatnego urlopu wypoczynkowego. </w:t>
      </w:r>
    </w:p>
    <w:p w:rsidR="001557A6" w:rsidRPr="001557A6" w:rsidRDefault="001557A6" w:rsidP="001557A6">
      <w:pPr>
        <w:spacing w:after="160" w:line="259" w:lineRule="auto"/>
        <w:jc w:val="both"/>
        <w:rPr>
          <w:rFonts w:ascii="Calibri" w:eastAsia="Calibri" w:hAnsi="Calibri"/>
        </w:rPr>
      </w:pPr>
    </w:p>
    <w:p w:rsidR="001557A6" w:rsidRPr="001557A6" w:rsidRDefault="001557A6" w:rsidP="001557A6">
      <w:pPr>
        <w:spacing w:line="259" w:lineRule="auto"/>
        <w:jc w:val="both"/>
        <w:rPr>
          <w:rFonts w:ascii="Calibri" w:eastAsia="Calibri" w:hAnsi="Calibri"/>
          <w:b/>
          <w:color w:val="1F497D"/>
          <w:sz w:val="26"/>
          <w:szCs w:val="26"/>
        </w:rPr>
      </w:pPr>
      <w:r w:rsidRPr="001557A6">
        <w:rPr>
          <w:rFonts w:ascii="Calibri" w:eastAsia="Calibri" w:hAnsi="Calibri"/>
          <w:b/>
          <w:color w:val="1F497D"/>
          <w:sz w:val="26"/>
          <w:szCs w:val="26"/>
        </w:rPr>
        <w:t>Zarobki w Danii</w:t>
      </w:r>
    </w:p>
    <w:p w:rsidR="001557A6" w:rsidRPr="001557A6" w:rsidRDefault="001557A6" w:rsidP="001557A6">
      <w:pPr>
        <w:spacing w:after="160" w:line="259" w:lineRule="auto"/>
        <w:jc w:val="both"/>
        <w:rPr>
          <w:rFonts w:ascii="Calibri" w:eastAsia="Calibri" w:hAnsi="Calibri"/>
        </w:rPr>
      </w:pPr>
      <w:r w:rsidRPr="001557A6">
        <w:rPr>
          <w:rFonts w:ascii="Calibri" w:eastAsia="Calibri" w:hAnsi="Calibri"/>
        </w:rPr>
        <w:t xml:space="preserve">Średnie miesięczne wynagrodzenie </w:t>
      </w:r>
      <w:r w:rsidRPr="001557A6">
        <w:rPr>
          <w:rFonts w:ascii="Calibri" w:eastAsia="Calibri" w:hAnsi="Calibri"/>
          <w:b/>
        </w:rPr>
        <w:t>w Danii</w:t>
      </w:r>
      <w:r w:rsidRPr="001557A6">
        <w:rPr>
          <w:rFonts w:ascii="Calibri" w:eastAsia="Calibri" w:hAnsi="Calibri"/>
        </w:rPr>
        <w:t xml:space="preserve"> w 2016 roku wyniosło </w:t>
      </w:r>
      <w:r w:rsidRPr="001557A6">
        <w:rPr>
          <w:rFonts w:ascii="Calibri" w:eastAsia="Calibri" w:hAnsi="Calibri"/>
          <w:b/>
        </w:rPr>
        <w:t>4 850 EUR brutto</w:t>
      </w:r>
      <w:r w:rsidRPr="001557A6">
        <w:rPr>
          <w:rFonts w:ascii="Calibri" w:eastAsia="Calibri" w:hAnsi="Calibri"/>
        </w:rPr>
        <w:t xml:space="preserve">. Jest to drugi najwyższy wynik wśród członków Unii Europejskiej. Więcej zarabiają tylko mieszkańcy Luksemburga. Na przestrzeni ostatnich 16 lat wynagrodzenia w Danii powoli, ale systematycznie rosły, począwszy od poziomu 3 890 EUR. </w:t>
      </w:r>
    </w:p>
    <w:p w:rsidR="001557A6" w:rsidRPr="001557A6" w:rsidRDefault="001557A6" w:rsidP="001557A6">
      <w:pPr>
        <w:spacing w:after="160" w:line="259" w:lineRule="auto"/>
        <w:rPr>
          <w:rFonts w:ascii="Calibri" w:eastAsia="Calibri" w:hAnsi="Calibri"/>
        </w:rPr>
      </w:pPr>
    </w:p>
    <w:p w:rsidR="001557A6" w:rsidRPr="001557A6" w:rsidRDefault="001557A6" w:rsidP="001557A6">
      <w:pPr>
        <w:spacing w:line="259" w:lineRule="auto"/>
        <w:jc w:val="center"/>
        <w:rPr>
          <w:rFonts w:ascii="Calibri" w:eastAsia="Calibri" w:hAnsi="Calibri"/>
          <w:b/>
          <w:color w:val="002060"/>
          <w:szCs w:val="22"/>
        </w:rPr>
      </w:pPr>
      <w:r w:rsidRPr="001557A6">
        <w:rPr>
          <w:rFonts w:ascii="Calibri" w:eastAsia="Calibri" w:hAnsi="Calibri"/>
          <w:b/>
          <w:color w:val="002060"/>
          <w:szCs w:val="22"/>
        </w:rPr>
        <w:t xml:space="preserve">Wykres 1. Dynamika wzrostu realnych wynagrodzeń w Danii </w:t>
      </w:r>
    </w:p>
    <w:p w:rsidR="001557A6" w:rsidRPr="001557A6" w:rsidRDefault="001557A6" w:rsidP="001557A6">
      <w:pPr>
        <w:spacing w:line="259" w:lineRule="auto"/>
        <w:jc w:val="center"/>
        <w:rPr>
          <w:rFonts w:ascii="Calibri" w:eastAsia="Calibri" w:hAnsi="Calibri"/>
          <w:b/>
          <w:color w:val="002060"/>
          <w:szCs w:val="22"/>
        </w:rPr>
      </w:pPr>
      <w:r w:rsidRPr="001557A6">
        <w:rPr>
          <w:rFonts w:ascii="Calibri" w:eastAsia="Calibri" w:hAnsi="Calibri"/>
          <w:b/>
          <w:color w:val="002060"/>
          <w:szCs w:val="22"/>
        </w:rPr>
        <w:t>w latach 2000-2016 (2000 rok = 100%)</w:t>
      </w:r>
    </w:p>
    <w:p w:rsidR="001557A6" w:rsidRPr="001557A6" w:rsidRDefault="001557A6" w:rsidP="001557A6">
      <w:pPr>
        <w:spacing w:after="160" w:line="259" w:lineRule="auto"/>
        <w:jc w:val="both"/>
        <w:rPr>
          <w:rFonts w:ascii="Calibri" w:eastAsia="Calibri" w:hAnsi="Calibri"/>
        </w:rPr>
      </w:pPr>
      <w:r w:rsidRPr="001557A6">
        <w:rPr>
          <w:rFonts w:ascii="Calibri" w:eastAsia="Calibri" w:hAnsi="Calibri"/>
          <w:noProof/>
          <w:lang w:eastAsia="pl-PL"/>
        </w:rPr>
        <w:lastRenderedPageBreak/>
        <w:drawing>
          <wp:inline distT="0" distB="0" distL="0" distR="0" wp14:anchorId="7C2E295D" wp14:editId="11F5D690">
            <wp:extent cx="5943600" cy="3219450"/>
            <wp:effectExtent l="0" t="0" r="0" b="0"/>
            <wp:docPr id="10" name="Wykres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557A6" w:rsidRPr="001557A6" w:rsidRDefault="001557A6" w:rsidP="001557A6">
      <w:pPr>
        <w:spacing w:after="160" w:line="259" w:lineRule="auto"/>
        <w:jc w:val="center"/>
        <w:rPr>
          <w:rFonts w:ascii="Calibri" w:eastAsia="Calibri" w:hAnsi="Calibri"/>
          <w:i/>
          <w:sz w:val="20"/>
          <w:szCs w:val="20"/>
        </w:rPr>
      </w:pPr>
      <w:r w:rsidRPr="001557A6">
        <w:rPr>
          <w:rFonts w:ascii="Calibri" w:eastAsia="Calibri" w:hAnsi="Calibri"/>
          <w:i/>
          <w:sz w:val="20"/>
          <w:szCs w:val="20"/>
        </w:rPr>
        <w:t xml:space="preserve">Źródło: Opracowanie własne Sedlak </w:t>
      </w:r>
      <w:r w:rsidRPr="001557A6">
        <w:rPr>
          <w:rFonts w:ascii="Calibri" w:eastAsia="Calibri" w:hAnsi="Calibri"/>
          <w:i/>
          <w:sz w:val="16"/>
          <w:szCs w:val="20"/>
        </w:rPr>
        <w:t>&amp;</w:t>
      </w:r>
      <w:r w:rsidRPr="001557A6">
        <w:rPr>
          <w:rFonts w:ascii="Calibri" w:eastAsia="Calibri" w:hAnsi="Calibri"/>
          <w:i/>
          <w:sz w:val="20"/>
          <w:szCs w:val="20"/>
        </w:rPr>
        <w:t xml:space="preserve"> Sedlak na podstawie oecd.com</w:t>
      </w:r>
    </w:p>
    <w:p w:rsidR="001557A6" w:rsidRPr="001557A6" w:rsidRDefault="001557A6" w:rsidP="001557A6">
      <w:pPr>
        <w:spacing w:after="160" w:line="259" w:lineRule="auto"/>
        <w:jc w:val="both"/>
        <w:rPr>
          <w:rFonts w:ascii="Calibri" w:eastAsia="Calibri" w:hAnsi="Calibri"/>
        </w:rPr>
      </w:pPr>
    </w:p>
    <w:p w:rsidR="001557A6" w:rsidRPr="001557A6" w:rsidRDefault="001557A6" w:rsidP="001557A6">
      <w:pPr>
        <w:spacing w:after="160" w:line="259" w:lineRule="auto"/>
        <w:jc w:val="both"/>
        <w:rPr>
          <w:rFonts w:ascii="Calibri" w:eastAsia="Calibri" w:hAnsi="Calibri"/>
          <w:i/>
          <w:sz w:val="22"/>
          <w:szCs w:val="22"/>
        </w:rPr>
      </w:pPr>
      <w:r w:rsidRPr="001557A6">
        <w:rPr>
          <w:rFonts w:ascii="Calibri" w:eastAsia="Calibri" w:hAnsi="Calibri"/>
        </w:rPr>
        <w:t xml:space="preserve">Wysokim poziomem zarobków wyróżnia się branża finansowa, gdzie wynagrodzenia przekraczają 7 tys. EUR miesięcznie. Powyżej średniej krajowej znalazła się także branża produkcyjna, transportowa i budowlana. Jedne z niższych pensji otrzymują zatrudnieni w hotelarstwie i gastronomii – 3,7 tys. EUR. </w:t>
      </w:r>
    </w:p>
    <w:p w:rsidR="001557A6" w:rsidRPr="001557A6" w:rsidRDefault="001557A6" w:rsidP="001557A6">
      <w:pPr>
        <w:spacing w:line="259" w:lineRule="auto"/>
        <w:jc w:val="center"/>
        <w:rPr>
          <w:rFonts w:ascii="Calibri" w:eastAsia="Calibri" w:hAnsi="Calibri"/>
          <w:b/>
          <w:color w:val="002060"/>
          <w:szCs w:val="22"/>
        </w:rPr>
      </w:pPr>
      <w:r w:rsidRPr="001557A6">
        <w:rPr>
          <w:rFonts w:ascii="Calibri" w:eastAsia="Calibri" w:hAnsi="Calibri"/>
          <w:b/>
          <w:color w:val="002060"/>
          <w:szCs w:val="22"/>
        </w:rPr>
        <w:t>Wykres 2.</w:t>
      </w:r>
      <w:r w:rsidRPr="001557A6">
        <w:rPr>
          <w:rFonts w:ascii="Calibri" w:eastAsia="Calibri" w:hAnsi="Calibri"/>
          <w:color w:val="1F497D"/>
          <w:sz w:val="26"/>
          <w:szCs w:val="26"/>
        </w:rPr>
        <w:t xml:space="preserve"> </w:t>
      </w:r>
      <w:r w:rsidRPr="001557A6">
        <w:rPr>
          <w:rFonts w:ascii="Calibri" w:eastAsia="Calibri" w:hAnsi="Calibri"/>
          <w:b/>
          <w:color w:val="002060"/>
          <w:szCs w:val="22"/>
        </w:rPr>
        <w:t>Średnie zarobki w wybranych branżach w 2015 roku (EUR/miesiąc)</w:t>
      </w:r>
    </w:p>
    <w:p w:rsidR="001557A6" w:rsidRPr="001557A6" w:rsidRDefault="001557A6" w:rsidP="001557A6">
      <w:pPr>
        <w:spacing w:line="259" w:lineRule="auto"/>
        <w:jc w:val="both"/>
        <w:rPr>
          <w:rFonts w:ascii="Calibri" w:eastAsia="Calibri" w:hAnsi="Calibri"/>
          <w:b/>
          <w:sz w:val="28"/>
        </w:rPr>
      </w:pPr>
      <w:r w:rsidRPr="001557A6">
        <w:rPr>
          <w:rFonts w:ascii="Calibri" w:eastAsia="Calibri" w:hAnsi="Calibri"/>
          <w:b/>
          <w:noProof/>
          <w:sz w:val="28"/>
          <w:lang w:eastAsia="pl-PL"/>
        </w:rPr>
        <w:drawing>
          <wp:inline distT="0" distB="0" distL="0" distR="0" wp14:anchorId="1F351CDE" wp14:editId="53A14039">
            <wp:extent cx="5962650" cy="2762250"/>
            <wp:effectExtent l="0" t="0" r="0" b="0"/>
            <wp:docPr id="11" name="Wykres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557A6" w:rsidRPr="001557A6" w:rsidRDefault="001557A6" w:rsidP="001557A6">
      <w:pPr>
        <w:spacing w:after="160" w:line="259" w:lineRule="auto"/>
        <w:jc w:val="center"/>
        <w:rPr>
          <w:rFonts w:ascii="Calibri" w:eastAsia="Calibri" w:hAnsi="Calibri"/>
          <w:i/>
          <w:sz w:val="20"/>
          <w:szCs w:val="20"/>
        </w:rPr>
      </w:pPr>
      <w:r w:rsidRPr="001557A6">
        <w:rPr>
          <w:rFonts w:ascii="Calibri" w:eastAsia="Calibri" w:hAnsi="Calibri"/>
          <w:i/>
          <w:sz w:val="20"/>
          <w:szCs w:val="20"/>
        </w:rPr>
        <w:t xml:space="preserve">Źródło: Opracowanie własne Sedlak </w:t>
      </w:r>
      <w:r w:rsidRPr="001557A6">
        <w:rPr>
          <w:rFonts w:ascii="Calibri" w:eastAsia="Calibri" w:hAnsi="Calibri"/>
          <w:i/>
          <w:sz w:val="16"/>
          <w:szCs w:val="20"/>
        </w:rPr>
        <w:t>&amp;</w:t>
      </w:r>
      <w:r w:rsidRPr="001557A6">
        <w:rPr>
          <w:rFonts w:ascii="Calibri" w:eastAsia="Calibri" w:hAnsi="Calibri"/>
          <w:i/>
          <w:sz w:val="20"/>
          <w:szCs w:val="20"/>
        </w:rPr>
        <w:t xml:space="preserve"> Sedlak na podstawie Statistics Denmark</w:t>
      </w:r>
    </w:p>
    <w:p w:rsidR="001557A6" w:rsidRPr="001557A6" w:rsidRDefault="001557A6" w:rsidP="001557A6">
      <w:pPr>
        <w:spacing w:line="259" w:lineRule="auto"/>
        <w:jc w:val="center"/>
        <w:rPr>
          <w:rFonts w:ascii="Calibri" w:eastAsia="Calibri" w:hAnsi="Calibri"/>
          <w:b/>
          <w:color w:val="002060"/>
          <w:szCs w:val="22"/>
        </w:rPr>
      </w:pPr>
    </w:p>
    <w:p w:rsidR="001557A6" w:rsidRPr="001557A6" w:rsidRDefault="001557A6" w:rsidP="001557A6">
      <w:pPr>
        <w:spacing w:line="276" w:lineRule="auto"/>
        <w:jc w:val="both"/>
        <w:rPr>
          <w:rFonts w:ascii="Calibri" w:eastAsia="Calibri" w:hAnsi="Calibri"/>
        </w:rPr>
      </w:pPr>
      <w:r w:rsidRPr="001557A6">
        <w:rPr>
          <w:rFonts w:ascii="Calibri" w:eastAsia="Calibri" w:hAnsi="Calibri"/>
        </w:rPr>
        <w:t xml:space="preserve">Do najlepiej opłacanych grup zawodowych w Danii należą lekarze i menedżerowie, którzy otrzymują ponad 9 tys. EUR miesięcznie. Niewiele mniej zarabiają dentyści, prawnicy i programiści – między 7 a 8 tys. EUR. Przeciętne wynagrodzenie pielęgniarek i nauczycieli  utrzymuje się nieco powyżej średniej krajowej, na poziomie 5,2 tys. EUR. Pracownicy posiadający niższe kwalifikacje, jak recepcjoniści czy kucharze, zarabiają około 3,7 tys. EUR. To o 800 EUR mniej niż średnie miesięczne wynagrodzenie pracowników branży budowlanej. </w:t>
      </w:r>
    </w:p>
    <w:p w:rsidR="001557A6" w:rsidRPr="001557A6" w:rsidRDefault="001557A6" w:rsidP="001557A6">
      <w:pPr>
        <w:spacing w:line="276" w:lineRule="auto"/>
        <w:jc w:val="both"/>
        <w:rPr>
          <w:rFonts w:ascii="Calibri" w:eastAsia="Calibri" w:hAnsi="Calibri"/>
        </w:rPr>
      </w:pPr>
    </w:p>
    <w:p w:rsidR="001557A6" w:rsidRPr="001557A6" w:rsidRDefault="001557A6" w:rsidP="001557A6">
      <w:pPr>
        <w:spacing w:line="276" w:lineRule="auto"/>
        <w:jc w:val="both"/>
        <w:rPr>
          <w:rFonts w:ascii="Calibri" w:eastAsia="Calibri" w:hAnsi="Calibri"/>
        </w:rPr>
      </w:pPr>
      <w:r w:rsidRPr="001557A6">
        <w:rPr>
          <w:rFonts w:ascii="Calibri" w:eastAsia="Calibri" w:hAnsi="Calibri"/>
        </w:rPr>
        <w:t xml:space="preserve">W Danii dba się nie tylko o sprawiedliwe wynagradzanie obcokrajowców, ale także o niwelowanie różnic między zarobkami kobiet i mężczyzn. Począwszy od roku 2009, luka płacowa w tym kraju sukcesywnie maleje. W 2009 roku wynosiła jeszcze 10,1%, podczas gdy w 2015 roku już tylko 5,8% (OECD, 2017). </w:t>
      </w:r>
    </w:p>
    <w:p w:rsidR="001557A6" w:rsidRPr="001557A6" w:rsidRDefault="001557A6" w:rsidP="001557A6">
      <w:pPr>
        <w:spacing w:line="276" w:lineRule="auto"/>
        <w:jc w:val="both"/>
        <w:rPr>
          <w:rFonts w:ascii="Calibri" w:eastAsia="Calibri" w:hAnsi="Calibri"/>
        </w:rPr>
      </w:pPr>
    </w:p>
    <w:p w:rsidR="001557A6" w:rsidRPr="001557A6" w:rsidRDefault="001557A6" w:rsidP="001557A6">
      <w:pPr>
        <w:spacing w:line="259" w:lineRule="auto"/>
        <w:jc w:val="both"/>
        <w:rPr>
          <w:rFonts w:ascii="Calibri" w:eastAsia="Calibri" w:hAnsi="Calibri"/>
          <w:b/>
          <w:color w:val="1F497D"/>
          <w:sz w:val="26"/>
          <w:szCs w:val="26"/>
        </w:rPr>
      </w:pPr>
      <w:r w:rsidRPr="001557A6">
        <w:rPr>
          <w:rFonts w:ascii="Calibri" w:eastAsia="Calibri" w:hAnsi="Calibri"/>
          <w:b/>
          <w:color w:val="1F497D"/>
          <w:sz w:val="26"/>
          <w:szCs w:val="26"/>
        </w:rPr>
        <w:t>Koszty życia</w:t>
      </w:r>
    </w:p>
    <w:p w:rsidR="001557A6" w:rsidRPr="001557A6" w:rsidRDefault="001557A6" w:rsidP="001557A6">
      <w:pPr>
        <w:spacing w:line="276" w:lineRule="auto"/>
        <w:jc w:val="both"/>
        <w:rPr>
          <w:rFonts w:ascii="Calibri" w:eastAsia="Calibri" w:hAnsi="Calibri"/>
        </w:rPr>
      </w:pPr>
      <w:r w:rsidRPr="001557A6">
        <w:rPr>
          <w:rFonts w:ascii="Calibri" w:eastAsia="Calibri" w:hAnsi="Calibri"/>
        </w:rPr>
        <w:t xml:space="preserve">Wysokie zarobki to tylko jedna strona medalu. Trzeba jeszcze brać pod uwagę koszty życia. Według danych Eurostatu, ceny jedzenia i napojów bezalkoholowych w Danii są najwyższymi w całej Unii Europejskiej (w Europie drożej jest tylko w Norwegii i Szwajcarii). Poniższa tabela przedstawia porównanie cen wybranych artykułów w Polsce i w Danii. </w:t>
      </w:r>
    </w:p>
    <w:p w:rsidR="001557A6" w:rsidRPr="001557A6" w:rsidRDefault="001557A6" w:rsidP="001557A6">
      <w:pPr>
        <w:spacing w:line="259" w:lineRule="auto"/>
        <w:jc w:val="center"/>
        <w:rPr>
          <w:rFonts w:ascii="Calibri" w:eastAsia="Calibri" w:hAnsi="Calibri"/>
          <w:b/>
          <w:color w:val="002060"/>
          <w:szCs w:val="22"/>
        </w:rPr>
      </w:pPr>
    </w:p>
    <w:p w:rsidR="001557A6" w:rsidRPr="001557A6" w:rsidRDefault="001557A6" w:rsidP="001557A6">
      <w:pPr>
        <w:spacing w:line="259" w:lineRule="auto"/>
        <w:jc w:val="center"/>
        <w:rPr>
          <w:rFonts w:ascii="Calibri" w:eastAsia="Calibri" w:hAnsi="Calibri"/>
          <w:b/>
          <w:color w:val="002060"/>
          <w:szCs w:val="22"/>
        </w:rPr>
      </w:pPr>
      <w:r w:rsidRPr="001557A6">
        <w:rPr>
          <w:rFonts w:ascii="Calibri" w:eastAsia="Calibri" w:hAnsi="Calibri"/>
          <w:b/>
          <w:color w:val="002060"/>
          <w:szCs w:val="22"/>
        </w:rPr>
        <w:t xml:space="preserve">Tabela 1. Porównanie cen wybranych artykułów w Polsce i w Danii </w:t>
      </w:r>
    </w:p>
    <w:p w:rsidR="001557A6" w:rsidRPr="001557A6" w:rsidRDefault="001557A6" w:rsidP="001557A6">
      <w:pPr>
        <w:spacing w:line="259" w:lineRule="auto"/>
        <w:jc w:val="center"/>
        <w:rPr>
          <w:rFonts w:ascii="Calibri" w:eastAsia="Calibri" w:hAnsi="Calibri"/>
          <w:b/>
          <w:color w:val="002060"/>
        </w:rPr>
      </w:pPr>
      <w:r w:rsidRPr="001557A6">
        <w:rPr>
          <w:rFonts w:ascii="Calibri" w:eastAsia="Calibri" w:hAnsi="Calibri"/>
          <w:b/>
          <w:color w:val="002060"/>
          <w:szCs w:val="22"/>
        </w:rPr>
        <w:t>w 2016 roku (EU-28=100)</w:t>
      </w:r>
      <w:r w:rsidRPr="001557A6">
        <w:rPr>
          <w:rFonts w:ascii="Calibri" w:eastAsia="Calibri" w:hAnsi="Calibri"/>
          <w:b/>
          <w:color w:val="002060"/>
        </w:rPr>
        <w:tab/>
      </w:r>
      <w:r w:rsidRPr="001557A6">
        <w:rPr>
          <w:rFonts w:ascii="Calibri" w:eastAsia="Calibri" w:hAnsi="Calibri"/>
          <w:b/>
          <w:color w:val="002060"/>
        </w:rPr>
        <w:tab/>
      </w:r>
    </w:p>
    <w:tbl>
      <w:tblPr>
        <w:tblW w:w="9072" w:type="dxa"/>
        <w:jc w:val="center"/>
        <w:tblCellMar>
          <w:left w:w="0" w:type="dxa"/>
          <w:right w:w="0" w:type="dxa"/>
        </w:tblCellMar>
        <w:tblLook w:val="04A0" w:firstRow="1" w:lastRow="0" w:firstColumn="1" w:lastColumn="0" w:noHBand="0" w:noVBand="1"/>
      </w:tblPr>
      <w:tblGrid>
        <w:gridCol w:w="2410"/>
        <w:gridCol w:w="2268"/>
        <w:gridCol w:w="1559"/>
        <w:gridCol w:w="2835"/>
      </w:tblGrid>
      <w:tr w:rsidR="001557A6" w:rsidRPr="001557A6" w:rsidTr="005F58CE">
        <w:trPr>
          <w:trHeight w:val="567"/>
          <w:jc w:val="center"/>
        </w:trPr>
        <w:tc>
          <w:tcPr>
            <w:tcW w:w="2410" w:type="dxa"/>
            <w:tcBorders>
              <w:top w:val="single" w:sz="8" w:space="0" w:color="FFDEBF"/>
              <w:left w:val="nil"/>
              <w:bottom w:val="single" w:sz="8" w:space="0" w:color="FFDEBF"/>
              <w:right w:val="nil"/>
            </w:tcBorders>
            <w:shd w:val="clear" w:color="auto" w:fill="FFF2E9"/>
            <w:tcMar>
              <w:top w:w="0" w:type="dxa"/>
              <w:left w:w="70" w:type="dxa"/>
              <w:bottom w:w="0" w:type="dxa"/>
              <w:right w:w="70" w:type="dxa"/>
            </w:tcMar>
            <w:vAlign w:val="center"/>
            <w:hideMark/>
          </w:tcPr>
          <w:p w:rsidR="001557A6" w:rsidRPr="001557A6" w:rsidRDefault="001557A6" w:rsidP="001557A6">
            <w:pPr>
              <w:jc w:val="center"/>
              <w:rPr>
                <w:rFonts w:ascii="Calibri" w:hAnsi="Calibri"/>
                <w:color w:val="2C2C2C"/>
                <w:sz w:val="22"/>
                <w:szCs w:val="22"/>
              </w:rPr>
            </w:pPr>
            <w:r w:rsidRPr="001557A6">
              <w:rPr>
                <w:rFonts w:ascii="Arial" w:hAnsi="Arial" w:cs="Arial"/>
                <w:b/>
                <w:bCs/>
                <w:color w:val="404040"/>
                <w:sz w:val="20"/>
                <w:szCs w:val="20"/>
              </w:rPr>
              <w:t>produkt</w:t>
            </w:r>
          </w:p>
        </w:tc>
        <w:tc>
          <w:tcPr>
            <w:tcW w:w="2268" w:type="dxa"/>
            <w:tcBorders>
              <w:top w:val="single" w:sz="8" w:space="0" w:color="FFDEBF"/>
              <w:left w:val="nil"/>
              <w:bottom w:val="single" w:sz="8" w:space="0" w:color="FFDEBF"/>
              <w:right w:val="nil"/>
            </w:tcBorders>
            <w:shd w:val="clear" w:color="auto" w:fill="FFF2E9"/>
            <w:tcMar>
              <w:top w:w="0" w:type="dxa"/>
              <w:left w:w="70" w:type="dxa"/>
              <w:bottom w:w="0" w:type="dxa"/>
              <w:right w:w="70" w:type="dxa"/>
            </w:tcMar>
            <w:vAlign w:val="center"/>
            <w:hideMark/>
          </w:tcPr>
          <w:p w:rsidR="001557A6" w:rsidRPr="001557A6" w:rsidRDefault="001557A6" w:rsidP="001557A6">
            <w:pPr>
              <w:jc w:val="center"/>
              <w:rPr>
                <w:rFonts w:ascii="Calibri" w:hAnsi="Calibri"/>
                <w:color w:val="2C2C2C"/>
                <w:sz w:val="22"/>
                <w:szCs w:val="22"/>
              </w:rPr>
            </w:pPr>
            <w:r w:rsidRPr="001557A6">
              <w:rPr>
                <w:rFonts w:ascii="Arial" w:hAnsi="Arial" w:cs="Arial"/>
                <w:b/>
                <w:bCs/>
                <w:color w:val="404040"/>
                <w:sz w:val="20"/>
                <w:szCs w:val="20"/>
              </w:rPr>
              <w:t>Polska</w:t>
            </w:r>
          </w:p>
        </w:tc>
        <w:tc>
          <w:tcPr>
            <w:tcW w:w="1559" w:type="dxa"/>
            <w:tcBorders>
              <w:top w:val="single" w:sz="8" w:space="0" w:color="FFDEBF"/>
              <w:left w:val="nil"/>
              <w:bottom w:val="single" w:sz="8" w:space="0" w:color="FFDEBF"/>
              <w:right w:val="nil"/>
            </w:tcBorders>
            <w:shd w:val="clear" w:color="auto" w:fill="FFF2E9"/>
            <w:vAlign w:val="center"/>
          </w:tcPr>
          <w:p w:rsidR="001557A6" w:rsidRPr="001557A6" w:rsidRDefault="001557A6" w:rsidP="001557A6">
            <w:pPr>
              <w:jc w:val="center"/>
              <w:rPr>
                <w:rFonts w:ascii="Arial" w:hAnsi="Arial" w:cs="Arial"/>
                <w:b/>
                <w:bCs/>
                <w:color w:val="404040"/>
                <w:sz w:val="20"/>
                <w:szCs w:val="20"/>
              </w:rPr>
            </w:pPr>
            <w:r w:rsidRPr="001557A6">
              <w:rPr>
                <w:rFonts w:ascii="Arial" w:hAnsi="Arial" w:cs="Arial"/>
                <w:b/>
                <w:bCs/>
                <w:color w:val="404040"/>
                <w:sz w:val="20"/>
                <w:szCs w:val="20"/>
              </w:rPr>
              <w:t>Dania</w:t>
            </w:r>
          </w:p>
        </w:tc>
        <w:tc>
          <w:tcPr>
            <w:tcW w:w="2835" w:type="dxa"/>
            <w:tcBorders>
              <w:top w:val="single" w:sz="8" w:space="0" w:color="FFDEBF"/>
              <w:left w:val="nil"/>
              <w:bottom w:val="single" w:sz="8" w:space="0" w:color="FFDEBF"/>
              <w:right w:val="nil"/>
            </w:tcBorders>
            <w:shd w:val="clear" w:color="auto" w:fill="FFF2E9"/>
            <w:tcMar>
              <w:top w:w="0" w:type="dxa"/>
              <w:left w:w="70" w:type="dxa"/>
              <w:bottom w:w="0" w:type="dxa"/>
              <w:right w:w="70" w:type="dxa"/>
            </w:tcMar>
            <w:vAlign w:val="center"/>
            <w:hideMark/>
          </w:tcPr>
          <w:p w:rsidR="001557A6" w:rsidRPr="001557A6" w:rsidRDefault="001557A6" w:rsidP="001557A6">
            <w:pPr>
              <w:jc w:val="center"/>
              <w:rPr>
                <w:rFonts w:ascii="Calibri" w:hAnsi="Calibri"/>
                <w:color w:val="2C2C2C"/>
                <w:sz w:val="22"/>
                <w:szCs w:val="22"/>
              </w:rPr>
            </w:pPr>
            <w:r w:rsidRPr="001557A6">
              <w:rPr>
                <w:rFonts w:ascii="Arial" w:hAnsi="Arial" w:cs="Arial"/>
                <w:b/>
                <w:bCs/>
                <w:color w:val="404040"/>
                <w:sz w:val="20"/>
                <w:szCs w:val="20"/>
              </w:rPr>
              <w:t>o ile % drożej</w:t>
            </w:r>
          </w:p>
        </w:tc>
      </w:tr>
      <w:tr w:rsidR="001557A6" w:rsidRPr="001557A6" w:rsidTr="005F58CE">
        <w:trPr>
          <w:trHeight w:val="567"/>
          <w:jc w:val="center"/>
        </w:trPr>
        <w:tc>
          <w:tcPr>
            <w:tcW w:w="2410" w:type="dxa"/>
            <w:tcBorders>
              <w:top w:val="nil"/>
              <w:left w:val="single" w:sz="8" w:space="0" w:color="FFFFFF"/>
              <w:bottom w:val="single" w:sz="8" w:space="0" w:color="FFDEBF"/>
              <w:right w:val="single" w:sz="8" w:space="0" w:color="FFFFFF"/>
            </w:tcBorders>
            <w:shd w:val="clear" w:color="auto" w:fill="auto"/>
            <w:tcMar>
              <w:top w:w="0" w:type="dxa"/>
              <w:left w:w="70" w:type="dxa"/>
              <w:bottom w:w="0" w:type="dxa"/>
              <w:right w:w="70" w:type="dxa"/>
            </w:tcMar>
            <w:vAlign w:val="center"/>
            <w:hideMark/>
          </w:tcPr>
          <w:p w:rsidR="001557A6" w:rsidRPr="001557A6" w:rsidRDefault="001557A6" w:rsidP="001557A6">
            <w:pPr>
              <w:rPr>
                <w:rFonts w:ascii="Calibri" w:hAnsi="Calibri"/>
                <w:color w:val="2C2C2C"/>
                <w:sz w:val="22"/>
                <w:szCs w:val="22"/>
              </w:rPr>
            </w:pPr>
            <w:r w:rsidRPr="001557A6">
              <w:rPr>
                <w:rFonts w:ascii="Calibri" w:hAnsi="Calibri"/>
                <w:color w:val="595959"/>
              </w:rPr>
              <w:t>pieczywo</w:t>
            </w:r>
          </w:p>
        </w:tc>
        <w:tc>
          <w:tcPr>
            <w:tcW w:w="2268" w:type="dxa"/>
            <w:tcBorders>
              <w:top w:val="nil"/>
              <w:left w:val="nil"/>
              <w:bottom w:val="single" w:sz="8" w:space="0" w:color="FFDEBF"/>
              <w:right w:val="single" w:sz="8" w:space="0" w:color="FFFFFF"/>
            </w:tcBorders>
            <w:shd w:val="clear" w:color="auto" w:fill="auto"/>
            <w:tcMar>
              <w:top w:w="0" w:type="dxa"/>
              <w:left w:w="70" w:type="dxa"/>
              <w:bottom w:w="0" w:type="dxa"/>
              <w:right w:w="70" w:type="dxa"/>
            </w:tcMar>
            <w:vAlign w:val="center"/>
            <w:hideMark/>
          </w:tcPr>
          <w:p w:rsidR="001557A6" w:rsidRPr="001557A6" w:rsidRDefault="001557A6" w:rsidP="001557A6">
            <w:pPr>
              <w:jc w:val="center"/>
              <w:rPr>
                <w:rFonts w:ascii="Calibri" w:hAnsi="Calibri"/>
                <w:color w:val="2C2C2C"/>
                <w:sz w:val="22"/>
                <w:szCs w:val="22"/>
              </w:rPr>
            </w:pPr>
            <w:r w:rsidRPr="001557A6">
              <w:rPr>
                <w:rFonts w:ascii="Calibri" w:hAnsi="Calibri"/>
                <w:color w:val="595959"/>
              </w:rPr>
              <w:t>60</w:t>
            </w:r>
          </w:p>
        </w:tc>
        <w:tc>
          <w:tcPr>
            <w:tcW w:w="1559" w:type="dxa"/>
            <w:tcBorders>
              <w:top w:val="nil"/>
              <w:left w:val="nil"/>
              <w:bottom w:val="single" w:sz="8" w:space="0" w:color="FFDEBF"/>
              <w:right w:val="nil"/>
            </w:tcBorders>
            <w:vAlign w:val="center"/>
          </w:tcPr>
          <w:p w:rsidR="001557A6" w:rsidRPr="001557A6" w:rsidRDefault="001557A6" w:rsidP="001557A6">
            <w:pPr>
              <w:jc w:val="center"/>
              <w:rPr>
                <w:rFonts w:ascii="Calibri" w:hAnsi="Calibri"/>
                <w:color w:val="2C2C2C"/>
                <w:sz w:val="22"/>
                <w:szCs w:val="22"/>
              </w:rPr>
            </w:pPr>
            <w:r w:rsidRPr="001557A6">
              <w:rPr>
                <w:rFonts w:ascii="Calibri" w:hAnsi="Calibri"/>
                <w:color w:val="595959"/>
              </w:rPr>
              <w:t>165</w:t>
            </w:r>
          </w:p>
        </w:tc>
        <w:tc>
          <w:tcPr>
            <w:tcW w:w="2835" w:type="dxa"/>
            <w:tcBorders>
              <w:top w:val="nil"/>
              <w:left w:val="nil"/>
              <w:bottom w:val="single" w:sz="8" w:space="0" w:color="FFDEBF"/>
              <w:right w:val="single" w:sz="8" w:space="0" w:color="FFFFFF"/>
            </w:tcBorders>
            <w:shd w:val="clear" w:color="auto" w:fill="auto"/>
            <w:tcMar>
              <w:top w:w="0" w:type="dxa"/>
              <w:left w:w="70" w:type="dxa"/>
              <w:bottom w:w="0" w:type="dxa"/>
              <w:right w:w="70" w:type="dxa"/>
            </w:tcMar>
            <w:vAlign w:val="center"/>
            <w:hideMark/>
          </w:tcPr>
          <w:p w:rsidR="001557A6" w:rsidRPr="001557A6" w:rsidRDefault="001557A6" w:rsidP="001557A6">
            <w:pPr>
              <w:jc w:val="center"/>
              <w:rPr>
                <w:rFonts w:ascii="Calibri" w:hAnsi="Calibri"/>
                <w:color w:val="2C2C2C"/>
                <w:sz w:val="22"/>
                <w:szCs w:val="22"/>
              </w:rPr>
            </w:pPr>
            <w:r w:rsidRPr="001557A6">
              <w:rPr>
                <w:rFonts w:ascii="Calibri" w:hAnsi="Calibri"/>
                <w:color w:val="595959"/>
              </w:rPr>
              <w:t>175%</w:t>
            </w:r>
          </w:p>
        </w:tc>
      </w:tr>
      <w:tr w:rsidR="001557A6" w:rsidRPr="001557A6" w:rsidTr="005F58CE">
        <w:trPr>
          <w:trHeight w:val="567"/>
          <w:jc w:val="center"/>
        </w:trPr>
        <w:tc>
          <w:tcPr>
            <w:tcW w:w="2410" w:type="dxa"/>
            <w:tcBorders>
              <w:top w:val="nil"/>
              <w:left w:val="single" w:sz="8" w:space="0" w:color="FFFFFF"/>
              <w:bottom w:val="single" w:sz="8" w:space="0" w:color="FFDEBF"/>
              <w:right w:val="single" w:sz="8" w:space="0" w:color="FFFFFF"/>
            </w:tcBorders>
            <w:shd w:val="clear" w:color="auto" w:fill="auto"/>
            <w:tcMar>
              <w:top w:w="0" w:type="dxa"/>
              <w:left w:w="70" w:type="dxa"/>
              <w:bottom w:w="0" w:type="dxa"/>
              <w:right w:w="70" w:type="dxa"/>
            </w:tcMar>
            <w:vAlign w:val="center"/>
            <w:hideMark/>
          </w:tcPr>
          <w:p w:rsidR="001557A6" w:rsidRPr="001557A6" w:rsidRDefault="001557A6" w:rsidP="001557A6">
            <w:pPr>
              <w:rPr>
                <w:rFonts w:ascii="Calibri" w:hAnsi="Calibri"/>
                <w:color w:val="2C2C2C"/>
                <w:sz w:val="22"/>
                <w:szCs w:val="22"/>
              </w:rPr>
            </w:pPr>
            <w:r w:rsidRPr="001557A6">
              <w:rPr>
                <w:rFonts w:ascii="Calibri" w:hAnsi="Calibri"/>
                <w:color w:val="595959"/>
              </w:rPr>
              <w:t>mięso</w:t>
            </w:r>
          </w:p>
        </w:tc>
        <w:tc>
          <w:tcPr>
            <w:tcW w:w="2268" w:type="dxa"/>
            <w:tcBorders>
              <w:top w:val="nil"/>
              <w:left w:val="nil"/>
              <w:bottom w:val="single" w:sz="8" w:space="0" w:color="FFDEBF"/>
              <w:right w:val="single" w:sz="8" w:space="0" w:color="FFFFFF"/>
            </w:tcBorders>
            <w:shd w:val="clear" w:color="auto" w:fill="auto"/>
            <w:tcMar>
              <w:top w:w="0" w:type="dxa"/>
              <w:left w:w="70" w:type="dxa"/>
              <w:bottom w:w="0" w:type="dxa"/>
              <w:right w:w="70" w:type="dxa"/>
            </w:tcMar>
            <w:vAlign w:val="center"/>
            <w:hideMark/>
          </w:tcPr>
          <w:p w:rsidR="001557A6" w:rsidRPr="001557A6" w:rsidRDefault="001557A6" w:rsidP="001557A6">
            <w:pPr>
              <w:jc w:val="center"/>
              <w:rPr>
                <w:rFonts w:ascii="Calibri" w:hAnsi="Calibri"/>
                <w:color w:val="2C2C2C"/>
                <w:sz w:val="22"/>
                <w:szCs w:val="22"/>
              </w:rPr>
            </w:pPr>
            <w:r w:rsidRPr="001557A6">
              <w:rPr>
                <w:rFonts w:ascii="Calibri" w:hAnsi="Calibri"/>
                <w:color w:val="595959"/>
              </w:rPr>
              <w:t>53</w:t>
            </w:r>
          </w:p>
        </w:tc>
        <w:tc>
          <w:tcPr>
            <w:tcW w:w="1559" w:type="dxa"/>
            <w:tcBorders>
              <w:top w:val="nil"/>
              <w:left w:val="nil"/>
              <w:bottom w:val="single" w:sz="8" w:space="0" w:color="FFDEBF"/>
              <w:right w:val="nil"/>
            </w:tcBorders>
            <w:vAlign w:val="center"/>
          </w:tcPr>
          <w:p w:rsidR="001557A6" w:rsidRPr="001557A6" w:rsidRDefault="001557A6" w:rsidP="001557A6">
            <w:pPr>
              <w:jc w:val="center"/>
              <w:rPr>
                <w:rFonts w:ascii="Calibri" w:hAnsi="Calibri"/>
                <w:color w:val="2C2C2C"/>
                <w:sz w:val="22"/>
                <w:szCs w:val="22"/>
              </w:rPr>
            </w:pPr>
            <w:r w:rsidRPr="001557A6">
              <w:rPr>
                <w:rFonts w:ascii="Calibri" w:hAnsi="Calibri"/>
                <w:color w:val="595959"/>
              </w:rPr>
              <w:t>139</w:t>
            </w:r>
          </w:p>
        </w:tc>
        <w:tc>
          <w:tcPr>
            <w:tcW w:w="2835" w:type="dxa"/>
            <w:tcBorders>
              <w:top w:val="nil"/>
              <w:left w:val="nil"/>
              <w:bottom w:val="single" w:sz="8" w:space="0" w:color="FFDEBF"/>
              <w:right w:val="single" w:sz="8" w:space="0" w:color="FFFFFF"/>
            </w:tcBorders>
            <w:shd w:val="clear" w:color="auto" w:fill="auto"/>
            <w:tcMar>
              <w:top w:w="0" w:type="dxa"/>
              <w:left w:w="70" w:type="dxa"/>
              <w:bottom w:w="0" w:type="dxa"/>
              <w:right w:w="70" w:type="dxa"/>
            </w:tcMar>
            <w:vAlign w:val="center"/>
            <w:hideMark/>
          </w:tcPr>
          <w:p w:rsidR="001557A6" w:rsidRPr="001557A6" w:rsidRDefault="001557A6" w:rsidP="001557A6">
            <w:pPr>
              <w:jc w:val="center"/>
              <w:rPr>
                <w:rFonts w:ascii="Calibri" w:hAnsi="Calibri"/>
                <w:color w:val="2C2C2C"/>
                <w:sz w:val="22"/>
                <w:szCs w:val="22"/>
              </w:rPr>
            </w:pPr>
            <w:r w:rsidRPr="001557A6">
              <w:rPr>
                <w:rFonts w:ascii="Calibri" w:hAnsi="Calibri"/>
                <w:color w:val="595959"/>
              </w:rPr>
              <w:t>162%</w:t>
            </w:r>
          </w:p>
        </w:tc>
      </w:tr>
      <w:tr w:rsidR="001557A6" w:rsidRPr="001557A6" w:rsidTr="005F58CE">
        <w:trPr>
          <w:trHeight w:val="567"/>
          <w:jc w:val="center"/>
        </w:trPr>
        <w:tc>
          <w:tcPr>
            <w:tcW w:w="2410" w:type="dxa"/>
            <w:tcBorders>
              <w:top w:val="nil"/>
              <w:left w:val="single" w:sz="8" w:space="0" w:color="FFFFFF"/>
              <w:bottom w:val="single" w:sz="8" w:space="0" w:color="FFDEBF"/>
              <w:right w:val="single" w:sz="8" w:space="0" w:color="FFFFFF"/>
            </w:tcBorders>
            <w:shd w:val="clear" w:color="auto" w:fill="auto"/>
            <w:tcMar>
              <w:top w:w="0" w:type="dxa"/>
              <w:left w:w="70" w:type="dxa"/>
              <w:bottom w:w="0" w:type="dxa"/>
              <w:right w:w="70" w:type="dxa"/>
            </w:tcMar>
            <w:vAlign w:val="center"/>
            <w:hideMark/>
          </w:tcPr>
          <w:p w:rsidR="001557A6" w:rsidRPr="001557A6" w:rsidRDefault="001557A6" w:rsidP="001557A6">
            <w:pPr>
              <w:rPr>
                <w:rFonts w:ascii="Calibri" w:hAnsi="Calibri"/>
                <w:color w:val="2C2C2C"/>
                <w:sz w:val="22"/>
                <w:szCs w:val="22"/>
              </w:rPr>
            </w:pPr>
            <w:r w:rsidRPr="001557A6">
              <w:rPr>
                <w:rFonts w:ascii="Calibri" w:hAnsi="Calibri"/>
                <w:color w:val="595959"/>
              </w:rPr>
              <w:t>nabiał</w:t>
            </w:r>
          </w:p>
        </w:tc>
        <w:tc>
          <w:tcPr>
            <w:tcW w:w="2268" w:type="dxa"/>
            <w:tcBorders>
              <w:top w:val="nil"/>
              <w:left w:val="nil"/>
              <w:bottom w:val="single" w:sz="8" w:space="0" w:color="FFDEBF"/>
              <w:right w:val="single" w:sz="8" w:space="0" w:color="FFFFFF"/>
            </w:tcBorders>
            <w:shd w:val="clear" w:color="auto" w:fill="auto"/>
            <w:tcMar>
              <w:top w:w="0" w:type="dxa"/>
              <w:left w:w="70" w:type="dxa"/>
              <w:bottom w:w="0" w:type="dxa"/>
              <w:right w:w="70" w:type="dxa"/>
            </w:tcMar>
            <w:vAlign w:val="center"/>
            <w:hideMark/>
          </w:tcPr>
          <w:p w:rsidR="001557A6" w:rsidRPr="001557A6" w:rsidRDefault="001557A6" w:rsidP="001557A6">
            <w:pPr>
              <w:jc w:val="center"/>
              <w:rPr>
                <w:rFonts w:ascii="Calibri" w:hAnsi="Calibri"/>
                <w:color w:val="2C2C2C"/>
                <w:sz w:val="22"/>
                <w:szCs w:val="22"/>
              </w:rPr>
            </w:pPr>
            <w:r w:rsidRPr="001557A6">
              <w:rPr>
                <w:rFonts w:ascii="Calibri" w:hAnsi="Calibri"/>
                <w:color w:val="595959"/>
              </w:rPr>
              <w:t>63</w:t>
            </w:r>
          </w:p>
        </w:tc>
        <w:tc>
          <w:tcPr>
            <w:tcW w:w="1559" w:type="dxa"/>
            <w:tcBorders>
              <w:top w:val="nil"/>
              <w:left w:val="nil"/>
              <w:bottom w:val="single" w:sz="8" w:space="0" w:color="FFDEBF"/>
              <w:right w:val="nil"/>
            </w:tcBorders>
            <w:vAlign w:val="center"/>
          </w:tcPr>
          <w:p w:rsidR="001557A6" w:rsidRPr="001557A6" w:rsidRDefault="001557A6" w:rsidP="001557A6">
            <w:pPr>
              <w:jc w:val="center"/>
              <w:rPr>
                <w:rFonts w:ascii="Calibri" w:hAnsi="Calibri"/>
                <w:color w:val="595959"/>
              </w:rPr>
            </w:pPr>
            <w:r w:rsidRPr="001557A6">
              <w:rPr>
                <w:rFonts w:ascii="Calibri" w:hAnsi="Calibri"/>
                <w:color w:val="595959"/>
              </w:rPr>
              <w:t>129</w:t>
            </w:r>
          </w:p>
        </w:tc>
        <w:tc>
          <w:tcPr>
            <w:tcW w:w="2835" w:type="dxa"/>
            <w:tcBorders>
              <w:top w:val="nil"/>
              <w:left w:val="nil"/>
              <w:bottom w:val="single" w:sz="8" w:space="0" w:color="FFDEBF"/>
              <w:right w:val="single" w:sz="8" w:space="0" w:color="FFFFFF"/>
            </w:tcBorders>
            <w:shd w:val="clear" w:color="auto" w:fill="auto"/>
            <w:tcMar>
              <w:top w:w="0" w:type="dxa"/>
              <w:left w:w="70" w:type="dxa"/>
              <w:bottom w:w="0" w:type="dxa"/>
              <w:right w:w="70" w:type="dxa"/>
            </w:tcMar>
            <w:vAlign w:val="center"/>
            <w:hideMark/>
          </w:tcPr>
          <w:p w:rsidR="001557A6" w:rsidRPr="001557A6" w:rsidRDefault="001557A6" w:rsidP="001557A6">
            <w:pPr>
              <w:jc w:val="center"/>
              <w:rPr>
                <w:rFonts w:ascii="Calibri" w:hAnsi="Calibri"/>
                <w:color w:val="2C2C2C"/>
                <w:sz w:val="22"/>
                <w:szCs w:val="22"/>
              </w:rPr>
            </w:pPr>
            <w:r w:rsidRPr="001557A6">
              <w:rPr>
                <w:rFonts w:ascii="Calibri" w:hAnsi="Calibri"/>
                <w:color w:val="595959"/>
              </w:rPr>
              <w:t>105%</w:t>
            </w:r>
          </w:p>
        </w:tc>
      </w:tr>
      <w:tr w:rsidR="001557A6" w:rsidRPr="001557A6" w:rsidTr="005F58CE">
        <w:trPr>
          <w:trHeight w:val="567"/>
          <w:jc w:val="center"/>
        </w:trPr>
        <w:tc>
          <w:tcPr>
            <w:tcW w:w="2410" w:type="dxa"/>
            <w:tcBorders>
              <w:top w:val="nil"/>
              <w:left w:val="single" w:sz="8" w:space="0" w:color="FFFFFF"/>
              <w:bottom w:val="single" w:sz="8" w:space="0" w:color="FFDEBF"/>
              <w:right w:val="single" w:sz="8" w:space="0" w:color="FFFFFF"/>
            </w:tcBorders>
            <w:shd w:val="clear" w:color="auto" w:fill="auto"/>
            <w:tcMar>
              <w:top w:w="0" w:type="dxa"/>
              <w:left w:w="70" w:type="dxa"/>
              <w:bottom w:w="0" w:type="dxa"/>
              <w:right w:w="70" w:type="dxa"/>
            </w:tcMar>
            <w:vAlign w:val="center"/>
            <w:hideMark/>
          </w:tcPr>
          <w:p w:rsidR="001557A6" w:rsidRPr="001557A6" w:rsidRDefault="001557A6" w:rsidP="001557A6">
            <w:pPr>
              <w:rPr>
                <w:rFonts w:ascii="Calibri" w:hAnsi="Calibri"/>
                <w:color w:val="2C2C2C"/>
                <w:sz w:val="22"/>
                <w:szCs w:val="22"/>
              </w:rPr>
            </w:pPr>
            <w:r w:rsidRPr="001557A6">
              <w:rPr>
                <w:rFonts w:ascii="Calibri" w:hAnsi="Calibri"/>
                <w:color w:val="595959"/>
              </w:rPr>
              <w:t>owoce, warzywa</w:t>
            </w:r>
          </w:p>
        </w:tc>
        <w:tc>
          <w:tcPr>
            <w:tcW w:w="2268" w:type="dxa"/>
            <w:tcBorders>
              <w:top w:val="nil"/>
              <w:left w:val="nil"/>
              <w:bottom w:val="single" w:sz="8" w:space="0" w:color="FFDEBF"/>
              <w:right w:val="single" w:sz="8" w:space="0" w:color="FFFFFF"/>
            </w:tcBorders>
            <w:shd w:val="clear" w:color="auto" w:fill="auto"/>
            <w:tcMar>
              <w:top w:w="0" w:type="dxa"/>
              <w:left w:w="70" w:type="dxa"/>
              <w:bottom w:w="0" w:type="dxa"/>
              <w:right w:w="70" w:type="dxa"/>
            </w:tcMar>
            <w:vAlign w:val="center"/>
            <w:hideMark/>
          </w:tcPr>
          <w:p w:rsidR="001557A6" w:rsidRPr="001557A6" w:rsidRDefault="001557A6" w:rsidP="001557A6">
            <w:pPr>
              <w:jc w:val="center"/>
              <w:rPr>
                <w:rFonts w:ascii="Calibri" w:hAnsi="Calibri"/>
                <w:color w:val="2C2C2C"/>
                <w:sz w:val="22"/>
                <w:szCs w:val="22"/>
              </w:rPr>
            </w:pPr>
            <w:r w:rsidRPr="001557A6">
              <w:rPr>
                <w:rFonts w:ascii="Calibri" w:hAnsi="Calibri"/>
                <w:color w:val="595959"/>
              </w:rPr>
              <w:t>62</w:t>
            </w:r>
          </w:p>
        </w:tc>
        <w:tc>
          <w:tcPr>
            <w:tcW w:w="1559" w:type="dxa"/>
            <w:tcBorders>
              <w:top w:val="nil"/>
              <w:left w:val="nil"/>
              <w:bottom w:val="single" w:sz="8" w:space="0" w:color="FFDEBF"/>
              <w:right w:val="nil"/>
            </w:tcBorders>
            <w:vAlign w:val="center"/>
          </w:tcPr>
          <w:p w:rsidR="001557A6" w:rsidRPr="001557A6" w:rsidRDefault="001557A6" w:rsidP="001557A6">
            <w:pPr>
              <w:jc w:val="center"/>
              <w:rPr>
                <w:rFonts w:ascii="Calibri" w:hAnsi="Calibri"/>
                <w:color w:val="595959"/>
              </w:rPr>
            </w:pPr>
            <w:r w:rsidRPr="001557A6">
              <w:rPr>
                <w:rFonts w:ascii="Calibri" w:hAnsi="Calibri"/>
                <w:color w:val="595959"/>
              </w:rPr>
              <w:t>140</w:t>
            </w:r>
          </w:p>
        </w:tc>
        <w:tc>
          <w:tcPr>
            <w:tcW w:w="2835" w:type="dxa"/>
            <w:tcBorders>
              <w:top w:val="nil"/>
              <w:left w:val="nil"/>
              <w:bottom w:val="single" w:sz="8" w:space="0" w:color="FFDEBF"/>
              <w:right w:val="single" w:sz="8" w:space="0" w:color="FFFFFF"/>
            </w:tcBorders>
            <w:shd w:val="clear" w:color="auto" w:fill="auto"/>
            <w:tcMar>
              <w:top w:w="0" w:type="dxa"/>
              <w:left w:w="70" w:type="dxa"/>
              <w:bottom w:w="0" w:type="dxa"/>
              <w:right w:w="70" w:type="dxa"/>
            </w:tcMar>
            <w:vAlign w:val="center"/>
            <w:hideMark/>
          </w:tcPr>
          <w:p w:rsidR="001557A6" w:rsidRPr="001557A6" w:rsidRDefault="001557A6" w:rsidP="001557A6">
            <w:pPr>
              <w:jc w:val="center"/>
              <w:rPr>
                <w:rFonts w:ascii="Calibri" w:hAnsi="Calibri"/>
                <w:color w:val="2C2C2C"/>
                <w:sz w:val="22"/>
                <w:szCs w:val="22"/>
              </w:rPr>
            </w:pPr>
            <w:r w:rsidRPr="001557A6">
              <w:rPr>
                <w:rFonts w:ascii="Calibri" w:hAnsi="Calibri"/>
                <w:color w:val="595959"/>
              </w:rPr>
              <w:t>125%</w:t>
            </w:r>
          </w:p>
        </w:tc>
      </w:tr>
      <w:tr w:rsidR="001557A6" w:rsidRPr="001557A6" w:rsidTr="005F58CE">
        <w:trPr>
          <w:trHeight w:val="567"/>
          <w:jc w:val="center"/>
        </w:trPr>
        <w:tc>
          <w:tcPr>
            <w:tcW w:w="2410" w:type="dxa"/>
            <w:tcBorders>
              <w:top w:val="nil"/>
              <w:left w:val="single" w:sz="8" w:space="0" w:color="FFFFFF"/>
              <w:right w:val="single" w:sz="8" w:space="0" w:color="FFFFFF"/>
            </w:tcBorders>
            <w:shd w:val="clear" w:color="auto" w:fill="auto"/>
            <w:tcMar>
              <w:top w:w="0" w:type="dxa"/>
              <w:left w:w="70" w:type="dxa"/>
              <w:bottom w:w="0" w:type="dxa"/>
              <w:right w:w="70" w:type="dxa"/>
            </w:tcMar>
            <w:vAlign w:val="center"/>
            <w:hideMark/>
          </w:tcPr>
          <w:p w:rsidR="001557A6" w:rsidRPr="001557A6" w:rsidRDefault="001557A6" w:rsidP="001557A6">
            <w:pPr>
              <w:rPr>
                <w:rFonts w:ascii="Calibri" w:hAnsi="Calibri"/>
                <w:color w:val="2C2C2C"/>
                <w:sz w:val="22"/>
                <w:szCs w:val="22"/>
              </w:rPr>
            </w:pPr>
            <w:r w:rsidRPr="001557A6">
              <w:rPr>
                <w:rFonts w:ascii="Calibri" w:hAnsi="Calibri"/>
                <w:color w:val="595959"/>
              </w:rPr>
              <w:t>napoje bezalkoholowe</w:t>
            </w:r>
          </w:p>
        </w:tc>
        <w:tc>
          <w:tcPr>
            <w:tcW w:w="2268" w:type="dxa"/>
            <w:tcBorders>
              <w:top w:val="nil"/>
              <w:left w:val="nil"/>
              <w:bottom w:val="single" w:sz="8" w:space="0" w:color="FFDEBF"/>
              <w:right w:val="single" w:sz="8" w:space="0" w:color="FFFFFF"/>
            </w:tcBorders>
            <w:shd w:val="clear" w:color="auto" w:fill="auto"/>
            <w:tcMar>
              <w:top w:w="0" w:type="dxa"/>
              <w:left w:w="70" w:type="dxa"/>
              <w:bottom w:w="0" w:type="dxa"/>
              <w:right w:w="70" w:type="dxa"/>
            </w:tcMar>
            <w:vAlign w:val="center"/>
            <w:hideMark/>
          </w:tcPr>
          <w:p w:rsidR="001557A6" w:rsidRPr="001557A6" w:rsidRDefault="001557A6" w:rsidP="001557A6">
            <w:pPr>
              <w:jc w:val="center"/>
              <w:rPr>
                <w:rFonts w:ascii="Calibri" w:hAnsi="Calibri"/>
                <w:color w:val="2C2C2C"/>
                <w:sz w:val="22"/>
                <w:szCs w:val="22"/>
              </w:rPr>
            </w:pPr>
            <w:r w:rsidRPr="001557A6">
              <w:rPr>
                <w:rFonts w:ascii="Calibri" w:hAnsi="Calibri"/>
                <w:color w:val="595959"/>
              </w:rPr>
              <w:t>76</w:t>
            </w:r>
          </w:p>
        </w:tc>
        <w:tc>
          <w:tcPr>
            <w:tcW w:w="1559" w:type="dxa"/>
            <w:tcBorders>
              <w:top w:val="nil"/>
              <w:left w:val="nil"/>
              <w:bottom w:val="single" w:sz="8" w:space="0" w:color="FFDEBF"/>
              <w:right w:val="nil"/>
            </w:tcBorders>
            <w:vAlign w:val="center"/>
          </w:tcPr>
          <w:p w:rsidR="001557A6" w:rsidRPr="001557A6" w:rsidRDefault="001557A6" w:rsidP="001557A6">
            <w:pPr>
              <w:jc w:val="center"/>
              <w:rPr>
                <w:rFonts w:ascii="Calibri" w:hAnsi="Calibri"/>
                <w:color w:val="595959"/>
              </w:rPr>
            </w:pPr>
            <w:r w:rsidRPr="001557A6">
              <w:rPr>
                <w:rFonts w:ascii="Calibri" w:hAnsi="Calibri"/>
                <w:color w:val="595959"/>
              </w:rPr>
              <w:t>167</w:t>
            </w:r>
          </w:p>
        </w:tc>
        <w:tc>
          <w:tcPr>
            <w:tcW w:w="2835" w:type="dxa"/>
            <w:tcBorders>
              <w:top w:val="nil"/>
              <w:left w:val="nil"/>
              <w:bottom w:val="single" w:sz="8" w:space="0" w:color="FFDEBF"/>
              <w:right w:val="single" w:sz="8" w:space="0" w:color="FFFFFF"/>
            </w:tcBorders>
            <w:shd w:val="clear" w:color="auto" w:fill="auto"/>
            <w:tcMar>
              <w:top w:w="0" w:type="dxa"/>
              <w:left w:w="70" w:type="dxa"/>
              <w:bottom w:w="0" w:type="dxa"/>
              <w:right w:w="70" w:type="dxa"/>
            </w:tcMar>
            <w:vAlign w:val="center"/>
            <w:hideMark/>
          </w:tcPr>
          <w:p w:rsidR="001557A6" w:rsidRPr="001557A6" w:rsidRDefault="001557A6" w:rsidP="001557A6">
            <w:pPr>
              <w:jc w:val="center"/>
              <w:rPr>
                <w:rFonts w:ascii="Calibri" w:hAnsi="Calibri"/>
                <w:color w:val="2C2C2C"/>
                <w:sz w:val="22"/>
                <w:szCs w:val="22"/>
              </w:rPr>
            </w:pPr>
            <w:r w:rsidRPr="001557A6">
              <w:rPr>
                <w:rFonts w:ascii="Calibri" w:hAnsi="Calibri"/>
                <w:color w:val="595959"/>
              </w:rPr>
              <w:t>120%</w:t>
            </w:r>
          </w:p>
        </w:tc>
      </w:tr>
      <w:tr w:rsidR="001557A6" w:rsidRPr="001557A6" w:rsidTr="005F58CE">
        <w:trPr>
          <w:trHeight w:val="567"/>
          <w:jc w:val="center"/>
        </w:trPr>
        <w:tc>
          <w:tcPr>
            <w:tcW w:w="2410" w:type="dxa"/>
            <w:tcBorders>
              <w:top w:val="single" w:sz="8" w:space="0" w:color="FFDEBF"/>
              <w:left w:val="single" w:sz="8" w:space="0" w:color="FFFFFF"/>
              <w:right w:val="single" w:sz="8" w:space="0" w:color="FFFFFF"/>
            </w:tcBorders>
            <w:shd w:val="clear" w:color="auto" w:fill="auto"/>
            <w:tcMar>
              <w:top w:w="0" w:type="dxa"/>
              <w:left w:w="70" w:type="dxa"/>
              <w:bottom w:w="0" w:type="dxa"/>
              <w:right w:w="70" w:type="dxa"/>
            </w:tcMar>
            <w:vAlign w:val="center"/>
          </w:tcPr>
          <w:p w:rsidR="001557A6" w:rsidRPr="001557A6" w:rsidRDefault="001557A6" w:rsidP="001557A6">
            <w:pPr>
              <w:rPr>
                <w:rFonts w:ascii="Calibri" w:hAnsi="Calibri"/>
                <w:color w:val="595959"/>
              </w:rPr>
            </w:pPr>
            <w:r w:rsidRPr="001557A6">
              <w:rPr>
                <w:rFonts w:ascii="Calibri" w:hAnsi="Calibri"/>
                <w:color w:val="595959"/>
              </w:rPr>
              <w:t>alkohol</w:t>
            </w:r>
          </w:p>
        </w:tc>
        <w:tc>
          <w:tcPr>
            <w:tcW w:w="2268" w:type="dxa"/>
            <w:tcBorders>
              <w:top w:val="single" w:sz="8" w:space="0" w:color="FFDEBF"/>
              <w:left w:val="nil"/>
              <w:bottom w:val="single" w:sz="8" w:space="0" w:color="FFDEBF"/>
              <w:right w:val="single" w:sz="8" w:space="0" w:color="FFFFFF"/>
            </w:tcBorders>
            <w:shd w:val="clear" w:color="auto" w:fill="auto"/>
            <w:tcMar>
              <w:top w:w="0" w:type="dxa"/>
              <w:left w:w="70" w:type="dxa"/>
              <w:bottom w:w="0" w:type="dxa"/>
              <w:right w:w="70" w:type="dxa"/>
            </w:tcMar>
            <w:vAlign w:val="center"/>
          </w:tcPr>
          <w:p w:rsidR="001557A6" w:rsidRPr="001557A6" w:rsidRDefault="001557A6" w:rsidP="001557A6">
            <w:pPr>
              <w:jc w:val="center"/>
              <w:rPr>
                <w:rFonts w:ascii="Calibri" w:hAnsi="Calibri"/>
                <w:color w:val="595959"/>
              </w:rPr>
            </w:pPr>
            <w:r w:rsidRPr="001557A6">
              <w:rPr>
                <w:rFonts w:ascii="Calibri" w:hAnsi="Calibri"/>
                <w:color w:val="595959"/>
              </w:rPr>
              <w:t>83</w:t>
            </w:r>
          </w:p>
        </w:tc>
        <w:tc>
          <w:tcPr>
            <w:tcW w:w="1559" w:type="dxa"/>
            <w:tcBorders>
              <w:top w:val="single" w:sz="8" w:space="0" w:color="FFDEBF"/>
              <w:left w:val="nil"/>
              <w:bottom w:val="single" w:sz="8" w:space="0" w:color="FFDEBF"/>
              <w:right w:val="nil"/>
            </w:tcBorders>
            <w:vAlign w:val="center"/>
          </w:tcPr>
          <w:p w:rsidR="001557A6" w:rsidRPr="001557A6" w:rsidRDefault="001557A6" w:rsidP="001557A6">
            <w:pPr>
              <w:jc w:val="center"/>
              <w:rPr>
                <w:rFonts w:ascii="Calibri" w:hAnsi="Calibri"/>
                <w:color w:val="595959"/>
              </w:rPr>
            </w:pPr>
            <w:r w:rsidRPr="001557A6">
              <w:rPr>
                <w:rFonts w:ascii="Calibri" w:hAnsi="Calibri"/>
                <w:color w:val="595959"/>
              </w:rPr>
              <w:t>142</w:t>
            </w:r>
          </w:p>
        </w:tc>
        <w:tc>
          <w:tcPr>
            <w:tcW w:w="2835" w:type="dxa"/>
            <w:tcBorders>
              <w:top w:val="single" w:sz="8" w:space="0" w:color="FFDEBF"/>
              <w:left w:val="nil"/>
              <w:bottom w:val="single" w:sz="8" w:space="0" w:color="FFDEBF"/>
              <w:right w:val="single" w:sz="8" w:space="0" w:color="FFFFFF"/>
            </w:tcBorders>
            <w:shd w:val="clear" w:color="auto" w:fill="auto"/>
            <w:tcMar>
              <w:top w:w="0" w:type="dxa"/>
              <w:left w:w="70" w:type="dxa"/>
              <w:bottom w:w="0" w:type="dxa"/>
              <w:right w:w="70" w:type="dxa"/>
            </w:tcMar>
            <w:vAlign w:val="center"/>
          </w:tcPr>
          <w:p w:rsidR="001557A6" w:rsidRPr="001557A6" w:rsidRDefault="001557A6" w:rsidP="001557A6">
            <w:pPr>
              <w:jc w:val="center"/>
              <w:rPr>
                <w:rFonts w:ascii="Calibri" w:hAnsi="Calibri"/>
                <w:color w:val="595959"/>
              </w:rPr>
            </w:pPr>
            <w:r w:rsidRPr="001557A6">
              <w:rPr>
                <w:rFonts w:ascii="Calibri" w:hAnsi="Calibri"/>
                <w:color w:val="595959"/>
              </w:rPr>
              <w:t>71%</w:t>
            </w:r>
          </w:p>
        </w:tc>
      </w:tr>
      <w:tr w:rsidR="001557A6" w:rsidRPr="001557A6" w:rsidTr="005F58CE">
        <w:trPr>
          <w:trHeight w:val="567"/>
          <w:jc w:val="center"/>
        </w:trPr>
        <w:tc>
          <w:tcPr>
            <w:tcW w:w="2410" w:type="dxa"/>
            <w:tcBorders>
              <w:top w:val="single" w:sz="8" w:space="0" w:color="FFDEBF"/>
              <w:left w:val="single" w:sz="8" w:space="0" w:color="FFFFFF"/>
              <w:bottom w:val="double" w:sz="12" w:space="0" w:color="FFDEBF"/>
              <w:right w:val="single" w:sz="8" w:space="0" w:color="FFFFFF"/>
            </w:tcBorders>
            <w:shd w:val="clear" w:color="auto" w:fill="auto"/>
            <w:tcMar>
              <w:top w:w="0" w:type="dxa"/>
              <w:left w:w="70" w:type="dxa"/>
              <w:bottom w:w="0" w:type="dxa"/>
              <w:right w:w="70" w:type="dxa"/>
            </w:tcMar>
            <w:vAlign w:val="center"/>
          </w:tcPr>
          <w:p w:rsidR="001557A6" w:rsidRPr="001557A6" w:rsidRDefault="001557A6" w:rsidP="001557A6">
            <w:pPr>
              <w:rPr>
                <w:rFonts w:ascii="Calibri" w:hAnsi="Calibri"/>
                <w:color w:val="595959"/>
              </w:rPr>
            </w:pPr>
            <w:r w:rsidRPr="001557A6">
              <w:rPr>
                <w:rFonts w:ascii="Calibri" w:hAnsi="Calibri"/>
                <w:color w:val="595959"/>
              </w:rPr>
              <w:t>wyroby tytoniowe</w:t>
            </w:r>
          </w:p>
        </w:tc>
        <w:tc>
          <w:tcPr>
            <w:tcW w:w="2268" w:type="dxa"/>
            <w:tcBorders>
              <w:top w:val="single" w:sz="8" w:space="0" w:color="FFDEBF"/>
              <w:left w:val="nil"/>
              <w:bottom w:val="double" w:sz="12" w:space="0" w:color="FFDEBF"/>
              <w:right w:val="single" w:sz="8" w:space="0" w:color="FFFFFF"/>
            </w:tcBorders>
            <w:shd w:val="clear" w:color="auto" w:fill="auto"/>
            <w:tcMar>
              <w:top w:w="0" w:type="dxa"/>
              <w:left w:w="70" w:type="dxa"/>
              <w:bottom w:w="0" w:type="dxa"/>
              <w:right w:w="70" w:type="dxa"/>
            </w:tcMar>
            <w:vAlign w:val="center"/>
          </w:tcPr>
          <w:p w:rsidR="001557A6" w:rsidRPr="001557A6" w:rsidRDefault="001557A6" w:rsidP="001557A6">
            <w:pPr>
              <w:jc w:val="center"/>
              <w:rPr>
                <w:rFonts w:ascii="Calibri" w:hAnsi="Calibri"/>
                <w:color w:val="595959"/>
              </w:rPr>
            </w:pPr>
            <w:r w:rsidRPr="001557A6">
              <w:rPr>
                <w:rFonts w:ascii="Calibri" w:hAnsi="Calibri"/>
                <w:color w:val="595959"/>
              </w:rPr>
              <w:t>61</w:t>
            </w:r>
          </w:p>
        </w:tc>
        <w:tc>
          <w:tcPr>
            <w:tcW w:w="1559" w:type="dxa"/>
            <w:tcBorders>
              <w:top w:val="single" w:sz="8" w:space="0" w:color="FFDEBF"/>
              <w:left w:val="nil"/>
              <w:bottom w:val="double" w:sz="12" w:space="0" w:color="FFDEBF"/>
              <w:right w:val="nil"/>
            </w:tcBorders>
            <w:vAlign w:val="center"/>
          </w:tcPr>
          <w:p w:rsidR="001557A6" w:rsidRPr="001557A6" w:rsidRDefault="001557A6" w:rsidP="001557A6">
            <w:pPr>
              <w:jc w:val="center"/>
              <w:rPr>
                <w:rFonts w:ascii="Calibri" w:hAnsi="Calibri"/>
                <w:color w:val="595959"/>
              </w:rPr>
            </w:pPr>
            <w:r w:rsidRPr="001557A6">
              <w:rPr>
                <w:rFonts w:ascii="Calibri" w:hAnsi="Calibri"/>
                <w:color w:val="595959"/>
              </w:rPr>
              <w:t>106</w:t>
            </w:r>
          </w:p>
        </w:tc>
        <w:tc>
          <w:tcPr>
            <w:tcW w:w="2835" w:type="dxa"/>
            <w:tcBorders>
              <w:top w:val="single" w:sz="8" w:space="0" w:color="FFDEBF"/>
              <w:left w:val="nil"/>
              <w:bottom w:val="double" w:sz="12" w:space="0" w:color="FFDEBF"/>
              <w:right w:val="single" w:sz="8" w:space="0" w:color="FFFFFF"/>
            </w:tcBorders>
            <w:shd w:val="clear" w:color="auto" w:fill="auto"/>
            <w:tcMar>
              <w:top w:w="0" w:type="dxa"/>
              <w:left w:w="70" w:type="dxa"/>
              <w:bottom w:w="0" w:type="dxa"/>
              <w:right w:w="70" w:type="dxa"/>
            </w:tcMar>
            <w:vAlign w:val="center"/>
          </w:tcPr>
          <w:p w:rsidR="001557A6" w:rsidRPr="001557A6" w:rsidRDefault="001557A6" w:rsidP="001557A6">
            <w:pPr>
              <w:jc w:val="center"/>
              <w:rPr>
                <w:rFonts w:ascii="Calibri" w:hAnsi="Calibri"/>
                <w:color w:val="595959"/>
              </w:rPr>
            </w:pPr>
            <w:r w:rsidRPr="001557A6">
              <w:rPr>
                <w:rFonts w:ascii="Calibri" w:hAnsi="Calibri"/>
                <w:color w:val="595959"/>
              </w:rPr>
              <w:t>73%</w:t>
            </w:r>
          </w:p>
        </w:tc>
      </w:tr>
      <w:tr w:rsidR="001557A6" w:rsidRPr="001557A6" w:rsidTr="005F58CE">
        <w:trPr>
          <w:trHeight w:val="567"/>
          <w:jc w:val="center"/>
        </w:trPr>
        <w:tc>
          <w:tcPr>
            <w:tcW w:w="2410" w:type="dxa"/>
            <w:tcBorders>
              <w:top w:val="double" w:sz="12" w:space="0" w:color="FFDEBF"/>
              <w:left w:val="single" w:sz="8" w:space="0" w:color="FFFFFF"/>
              <w:bottom w:val="single" w:sz="8" w:space="0" w:color="FFDEBF"/>
              <w:right w:val="single" w:sz="8" w:space="0" w:color="FFFFFF"/>
            </w:tcBorders>
            <w:shd w:val="clear" w:color="auto" w:fill="auto"/>
            <w:tcMar>
              <w:top w:w="0" w:type="dxa"/>
              <w:left w:w="70" w:type="dxa"/>
              <w:bottom w:w="0" w:type="dxa"/>
              <w:right w:w="70" w:type="dxa"/>
            </w:tcMar>
            <w:vAlign w:val="center"/>
          </w:tcPr>
          <w:p w:rsidR="001557A6" w:rsidRPr="001557A6" w:rsidRDefault="001557A6" w:rsidP="001557A6">
            <w:pPr>
              <w:rPr>
                <w:rFonts w:ascii="Calibri" w:hAnsi="Calibri"/>
                <w:color w:val="595959"/>
              </w:rPr>
            </w:pPr>
            <w:r w:rsidRPr="001557A6">
              <w:rPr>
                <w:rFonts w:ascii="Calibri" w:hAnsi="Calibri"/>
                <w:color w:val="595959"/>
              </w:rPr>
              <w:lastRenderedPageBreak/>
              <w:t>ubrania</w:t>
            </w:r>
          </w:p>
        </w:tc>
        <w:tc>
          <w:tcPr>
            <w:tcW w:w="2268" w:type="dxa"/>
            <w:tcBorders>
              <w:top w:val="double" w:sz="12" w:space="0" w:color="FFDEBF"/>
              <w:left w:val="nil"/>
              <w:bottom w:val="single" w:sz="8" w:space="0" w:color="FFDEBF"/>
              <w:right w:val="single" w:sz="8" w:space="0" w:color="FFFFFF"/>
            </w:tcBorders>
            <w:shd w:val="clear" w:color="auto" w:fill="auto"/>
            <w:tcMar>
              <w:top w:w="0" w:type="dxa"/>
              <w:left w:w="70" w:type="dxa"/>
              <w:bottom w:w="0" w:type="dxa"/>
              <w:right w:w="70" w:type="dxa"/>
            </w:tcMar>
            <w:vAlign w:val="center"/>
          </w:tcPr>
          <w:p w:rsidR="001557A6" w:rsidRPr="001557A6" w:rsidRDefault="001557A6" w:rsidP="001557A6">
            <w:pPr>
              <w:jc w:val="center"/>
              <w:rPr>
                <w:rFonts w:ascii="Calibri" w:hAnsi="Calibri"/>
                <w:color w:val="595959"/>
              </w:rPr>
            </w:pPr>
            <w:r w:rsidRPr="001557A6">
              <w:rPr>
                <w:rFonts w:ascii="Calibri" w:hAnsi="Calibri"/>
                <w:color w:val="595959"/>
              </w:rPr>
              <w:t>90</w:t>
            </w:r>
          </w:p>
        </w:tc>
        <w:tc>
          <w:tcPr>
            <w:tcW w:w="1559" w:type="dxa"/>
            <w:tcBorders>
              <w:top w:val="double" w:sz="12" w:space="0" w:color="FFDEBF"/>
              <w:left w:val="nil"/>
              <w:bottom w:val="single" w:sz="8" w:space="0" w:color="FFDEBF"/>
              <w:right w:val="nil"/>
            </w:tcBorders>
            <w:vAlign w:val="center"/>
          </w:tcPr>
          <w:p w:rsidR="001557A6" w:rsidRPr="001557A6" w:rsidRDefault="001557A6" w:rsidP="001557A6">
            <w:pPr>
              <w:jc w:val="center"/>
              <w:rPr>
                <w:rFonts w:ascii="Calibri" w:hAnsi="Calibri"/>
                <w:color w:val="595959"/>
              </w:rPr>
            </w:pPr>
            <w:r w:rsidRPr="001557A6">
              <w:rPr>
                <w:rFonts w:ascii="Calibri" w:hAnsi="Calibri"/>
                <w:color w:val="595959"/>
              </w:rPr>
              <w:t>131</w:t>
            </w:r>
          </w:p>
        </w:tc>
        <w:tc>
          <w:tcPr>
            <w:tcW w:w="2835" w:type="dxa"/>
            <w:tcBorders>
              <w:top w:val="double" w:sz="12" w:space="0" w:color="FFDEBF"/>
              <w:left w:val="nil"/>
              <w:bottom w:val="single" w:sz="8" w:space="0" w:color="FFDEBF"/>
              <w:right w:val="single" w:sz="8" w:space="0" w:color="FFFFFF"/>
            </w:tcBorders>
            <w:shd w:val="clear" w:color="auto" w:fill="auto"/>
            <w:tcMar>
              <w:top w:w="0" w:type="dxa"/>
              <w:left w:w="70" w:type="dxa"/>
              <w:bottom w:w="0" w:type="dxa"/>
              <w:right w:w="70" w:type="dxa"/>
            </w:tcMar>
            <w:vAlign w:val="center"/>
          </w:tcPr>
          <w:p w:rsidR="001557A6" w:rsidRPr="001557A6" w:rsidRDefault="001557A6" w:rsidP="001557A6">
            <w:pPr>
              <w:jc w:val="center"/>
              <w:rPr>
                <w:rFonts w:ascii="Calibri" w:hAnsi="Calibri"/>
                <w:color w:val="595959"/>
              </w:rPr>
            </w:pPr>
            <w:r w:rsidRPr="001557A6">
              <w:rPr>
                <w:rFonts w:ascii="Calibri" w:hAnsi="Calibri"/>
                <w:color w:val="595959"/>
              </w:rPr>
              <w:t>45%</w:t>
            </w:r>
          </w:p>
        </w:tc>
      </w:tr>
      <w:tr w:rsidR="001557A6" w:rsidRPr="001557A6" w:rsidTr="005F58CE">
        <w:trPr>
          <w:trHeight w:val="567"/>
          <w:jc w:val="center"/>
        </w:trPr>
        <w:tc>
          <w:tcPr>
            <w:tcW w:w="2410" w:type="dxa"/>
            <w:tcBorders>
              <w:top w:val="single" w:sz="8" w:space="0" w:color="FFDEBF"/>
              <w:left w:val="single" w:sz="8" w:space="0" w:color="FFFFFF"/>
              <w:bottom w:val="single" w:sz="8" w:space="0" w:color="FFDEBF"/>
              <w:right w:val="single" w:sz="8" w:space="0" w:color="FFFFFF"/>
            </w:tcBorders>
            <w:shd w:val="clear" w:color="auto" w:fill="auto"/>
            <w:tcMar>
              <w:top w:w="0" w:type="dxa"/>
              <w:left w:w="70" w:type="dxa"/>
              <w:bottom w:w="0" w:type="dxa"/>
              <w:right w:w="70" w:type="dxa"/>
            </w:tcMar>
            <w:vAlign w:val="center"/>
          </w:tcPr>
          <w:p w:rsidR="001557A6" w:rsidRPr="001557A6" w:rsidRDefault="001557A6" w:rsidP="001557A6">
            <w:pPr>
              <w:rPr>
                <w:rFonts w:ascii="Calibri" w:hAnsi="Calibri"/>
                <w:color w:val="595959"/>
              </w:rPr>
            </w:pPr>
            <w:r w:rsidRPr="001557A6">
              <w:rPr>
                <w:rFonts w:ascii="Calibri" w:hAnsi="Calibri"/>
                <w:color w:val="595959"/>
              </w:rPr>
              <w:t>elektronika</w:t>
            </w:r>
          </w:p>
        </w:tc>
        <w:tc>
          <w:tcPr>
            <w:tcW w:w="2268" w:type="dxa"/>
            <w:tcBorders>
              <w:top w:val="single" w:sz="8" w:space="0" w:color="FFDEBF"/>
              <w:left w:val="nil"/>
              <w:bottom w:val="single" w:sz="8" w:space="0" w:color="FFDEBF"/>
              <w:right w:val="single" w:sz="8" w:space="0" w:color="FFFFFF"/>
            </w:tcBorders>
            <w:shd w:val="clear" w:color="auto" w:fill="auto"/>
            <w:tcMar>
              <w:top w:w="0" w:type="dxa"/>
              <w:left w:w="70" w:type="dxa"/>
              <w:bottom w:w="0" w:type="dxa"/>
              <w:right w:w="70" w:type="dxa"/>
            </w:tcMar>
            <w:vAlign w:val="center"/>
          </w:tcPr>
          <w:p w:rsidR="001557A6" w:rsidRPr="001557A6" w:rsidRDefault="001557A6" w:rsidP="001557A6">
            <w:pPr>
              <w:jc w:val="center"/>
              <w:rPr>
                <w:rFonts w:ascii="Calibri" w:hAnsi="Calibri"/>
                <w:color w:val="595959"/>
              </w:rPr>
            </w:pPr>
            <w:r w:rsidRPr="001557A6">
              <w:rPr>
                <w:rFonts w:ascii="Calibri" w:hAnsi="Calibri"/>
                <w:color w:val="595959"/>
              </w:rPr>
              <w:t>86</w:t>
            </w:r>
          </w:p>
        </w:tc>
        <w:tc>
          <w:tcPr>
            <w:tcW w:w="1559" w:type="dxa"/>
            <w:tcBorders>
              <w:top w:val="single" w:sz="8" w:space="0" w:color="FFDEBF"/>
              <w:left w:val="nil"/>
              <w:bottom w:val="single" w:sz="8" w:space="0" w:color="FFDEBF"/>
              <w:right w:val="nil"/>
            </w:tcBorders>
            <w:vAlign w:val="center"/>
          </w:tcPr>
          <w:p w:rsidR="001557A6" w:rsidRPr="001557A6" w:rsidRDefault="001557A6" w:rsidP="001557A6">
            <w:pPr>
              <w:jc w:val="center"/>
              <w:rPr>
                <w:rFonts w:ascii="Calibri" w:hAnsi="Calibri"/>
                <w:color w:val="595959"/>
              </w:rPr>
            </w:pPr>
            <w:r w:rsidRPr="001557A6">
              <w:rPr>
                <w:rFonts w:ascii="Calibri" w:hAnsi="Calibri"/>
                <w:color w:val="595959"/>
              </w:rPr>
              <w:t>115</w:t>
            </w:r>
          </w:p>
        </w:tc>
        <w:tc>
          <w:tcPr>
            <w:tcW w:w="2835" w:type="dxa"/>
            <w:tcBorders>
              <w:top w:val="single" w:sz="8" w:space="0" w:color="FFDEBF"/>
              <w:left w:val="nil"/>
              <w:bottom w:val="single" w:sz="8" w:space="0" w:color="FFDEBF"/>
              <w:right w:val="single" w:sz="8" w:space="0" w:color="FFFFFF"/>
            </w:tcBorders>
            <w:shd w:val="clear" w:color="auto" w:fill="auto"/>
            <w:tcMar>
              <w:top w:w="0" w:type="dxa"/>
              <w:left w:w="70" w:type="dxa"/>
              <w:bottom w:w="0" w:type="dxa"/>
              <w:right w:w="70" w:type="dxa"/>
            </w:tcMar>
            <w:vAlign w:val="center"/>
          </w:tcPr>
          <w:p w:rsidR="001557A6" w:rsidRPr="001557A6" w:rsidRDefault="001557A6" w:rsidP="001557A6">
            <w:pPr>
              <w:jc w:val="center"/>
              <w:rPr>
                <w:rFonts w:ascii="Calibri" w:hAnsi="Calibri"/>
                <w:color w:val="595959"/>
              </w:rPr>
            </w:pPr>
            <w:r w:rsidRPr="001557A6">
              <w:rPr>
                <w:rFonts w:ascii="Calibri" w:hAnsi="Calibri"/>
                <w:color w:val="595959"/>
              </w:rPr>
              <w:t>34%</w:t>
            </w:r>
          </w:p>
        </w:tc>
      </w:tr>
      <w:tr w:rsidR="001557A6" w:rsidRPr="001557A6" w:rsidTr="005F58CE">
        <w:trPr>
          <w:trHeight w:val="567"/>
          <w:jc w:val="center"/>
        </w:trPr>
        <w:tc>
          <w:tcPr>
            <w:tcW w:w="2410" w:type="dxa"/>
            <w:tcBorders>
              <w:top w:val="single" w:sz="8" w:space="0" w:color="FFDEBF"/>
              <w:left w:val="single" w:sz="8" w:space="0" w:color="FFFFFF"/>
              <w:bottom w:val="single" w:sz="8" w:space="0" w:color="FFDEBF"/>
              <w:right w:val="single" w:sz="8" w:space="0" w:color="FFFFFF"/>
            </w:tcBorders>
            <w:shd w:val="clear" w:color="auto" w:fill="auto"/>
            <w:tcMar>
              <w:top w:w="0" w:type="dxa"/>
              <w:left w:w="70" w:type="dxa"/>
              <w:bottom w:w="0" w:type="dxa"/>
              <w:right w:w="70" w:type="dxa"/>
            </w:tcMar>
            <w:vAlign w:val="center"/>
          </w:tcPr>
          <w:p w:rsidR="001557A6" w:rsidRPr="001557A6" w:rsidRDefault="001557A6" w:rsidP="001557A6">
            <w:pPr>
              <w:rPr>
                <w:rFonts w:ascii="Calibri" w:hAnsi="Calibri"/>
                <w:color w:val="595959"/>
              </w:rPr>
            </w:pPr>
            <w:r w:rsidRPr="001557A6">
              <w:rPr>
                <w:rFonts w:ascii="Calibri" w:hAnsi="Calibri"/>
                <w:color w:val="595959"/>
              </w:rPr>
              <w:t>usługi transportowe</w:t>
            </w:r>
          </w:p>
        </w:tc>
        <w:tc>
          <w:tcPr>
            <w:tcW w:w="2268" w:type="dxa"/>
            <w:tcBorders>
              <w:top w:val="single" w:sz="8" w:space="0" w:color="FFDEBF"/>
              <w:left w:val="nil"/>
              <w:bottom w:val="single" w:sz="8" w:space="0" w:color="FFDEBF"/>
              <w:right w:val="single" w:sz="8" w:space="0" w:color="FFFFFF"/>
            </w:tcBorders>
            <w:shd w:val="clear" w:color="auto" w:fill="auto"/>
            <w:tcMar>
              <w:top w:w="0" w:type="dxa"/>
              <w:left w:w="70" w:type="dxa"/>
              <w:bottom w:w="0" w:type="dxa"/>
              <w:right w:w="70" w:type="dxa"/>
            </w:tcMar>
            <w:vAlign w:val="center"/>
          </w:tcPr>
          <w:p w:rsidR="001557A6" w:rsidRPr="001557A6" w:rsidRDefault="001557A6" w:rsidP="001557A6">
            <w:pPr>
              <w:jc w:val="center"/>
              <w:rPr>
                <w:rFonts w:ascii="Calibri" w:hAnsi="Calibri"/>
                <w:color w:val="595959"/>
              </w:rPr>
            </w:pPr>
            <w:r w:rsidRPr="001557A6">
              <w:rPr>
                <w:rFonts w:ascii="Calibri" w:hAnsi="Calibri"/>
                <w:color w:val="595959"/>
              </w:rPr>
              <w:t>53</w:t>
            </w:r>
          </w:p>
        </w:tc>
        <w:tc>
          <w:tcPr>
            <w:tcW w:w="1559" w:type="dxa"/>
            <w:tcBorders>
              <w:top w:val="single" w:sz="8" w:space="0" w:color="FFDEBF"/>
              <w:left w:val="nil"/>
              <w:bottom w:val="single" w:sz="8" w:space="0" w:color="FFDEBF"/>
              <w:right w:val="nil"/>
            </w:tcBorders>
            <w:vAlign w:val="center"/>
          </w:tcPr>
          <w:p w:rsidR="001557A6" w:rsidRPr="001557A6" w:rsidRDefault="001557A6" w:rsidP="001557A6">
            <w:pPr>
              <w:jc w:val="center"/>
              <w:rPr>
                <w:rFonts w:ascii="Calibri" w:hAnsi="Calibri"/>
                <w:color w:val="595959"/>
              </w:rPr>
            </w:pPr>
            <w:r w:rsidRPr="001557A6">
              <w:rPr>
                <w:rFonts w:ascii="Calibri" w:hAnsi="Calibri"/>
                <w:color w:val="595959"/>
              </w:rPr>
              <w:t>124</w:t>
            </w:r>
          </w:p>
        </w:tc>
        <w:tc>
          <w:tcPr>
            <w:tcW w:w="2835" w:type="dxa"/>
            <w:tcBorders>
              <w:top w:val="single" w:sz="8" w:space="0" w:color="FFDEBF"/>
              <w:left w:val="nil"/>
              <w:bottom w:val="single" w:sz="8" w:space="0" w:color="FFDEBF"/>
              <w:right w:val="single" w:sz="8" w:space="0" w:color="FFFFFF"/>
            </w:tcBorders>
            <w:shd w:val="clear" w:color="auto" w:fill="auto"/>
            <w:tcMar>
              <w:top w:w="0" w:type="dxa"/>
              <w:left w:w="70" w:type="dxa"/>
              <w:bottom w:w="0" w:type="dxa"/>
              <w:right w:w="70" w:type="dxa"/>
            </w:tcMar>
            <w:vAlign w:val="center"/>
          </w:tcPr>
          <w:p w:rsidR="001557A6" w:rsidRPr="001557A6" w:rsidRDefault="001557A6" w:rsidP="001557A6">
            <w:pPr>
              <w:jc w:val="center"/>
              <w:rPr>
                <w:rFonts w:ascii="Calibri" w:hAnsi="Calibri"/>
                <w:color w:val="595959"/>
              </w:rPr>
            </w:pPr>
            <w:r w:rsidRPr="001557A6">
              <w:rPr>
                <w:rFonts w:ascii="Calibri" w:hAnsi="Calibri"/>
                <w:color w:val="595959"/>
              </w:rPr>
              <w:t>134%</w:t>
            </w:r>
          </w:p>
        </w:tc>
      </w:tr>
    </w:tbl>
    <w:p w:rsidR="001557A6" w:rsidRPr="001557A6" w:rsidRDefault="001557A6" w:rsidP="001557A6">
      <w:pPr>
        <w:spacing w:after="160" w:line="259" w:lineRule="auto"/>
        <w:jc w:val="center"/>
        <w:rPr>
          <w:rFonts w:ascii="Calibri" w:eastAsia="Calibri" w:hAnsi="Calibri"/>
          <w:i/>
          <w:sz w:val="20"/>
          <w:szCs w:val="20"/>
        </w:rPr>
      </w:pPr>
      <w:r w:rsidRPr="001557A6">
        <w:rPr>
          <w:rFonts w:ascii="Calibri" w:eastAsia="Calibri" w:hAnsi="Calibri"/>
          <w:i/>
          <w:sz w:val="20"/>
          <w:szCs w:val="20"/>
        </w:rPr>
        <w:t xml:space="preserve">Źródło: Opracowanie własne Sedlak </w:t>
      </w:r>
      <w:r w:rsidRPr="001557A6">
        <w:rPr>
          <w:rFonts w:ascii="Calibri" w:eastAsia="Calibri" w:hAnsi="Calibri"/>
          <w:i/>
          <w:sz w:val="16"/>
          <w:szCs w:val="20"/>
        </w:rPr>
        <w:t>&amp;</w:t>
      </w:r>
      <w:r w:rsidRPr="001557A6">
        <w:rPr>
          <w:rFonts w:ascii="Calibri" w:eastAsia="Calibri" w:hAnsi="Calibri"/>
          <w:i/>
          <w:sz w:val="20"/>
          <w:szCs w:val="20"/>
        </w:rPr>
        <w:t xml:space="preserve"> Sedlak na podstawie danych Eurostat</w:t>
      </w:r>
    </w:p>
    <w:p w:rsidR="001557A6" w:rsidRPr="001557A6" w:rsidRDefault="001557A6" w:rsidP="001557A6">
      <w:pPr>
        <w:spacing w:after="160" w:line="259" w:lineRule="auto"/>
        <w:jc w:val="center"/>
        <w:rPr>
          <w:rFonts w:ascii="Calibri" w:eastAsia="Calibri" w:hAnsi="Calibri"/>
          <w:b/>
          <w:color w:val="1F497D"/>
          <w:sz w:val="26"/>
          <w:szCs w:val="26"/>
        </w:rPr>
      </w:pPr>
    </w:p>
    <w:p w:rsidR="001557A6" w:rsidRPr="001557A6" w:rsidRDefault="001557A6" w:rsidP="001557A6">
      <w:pPr>
        <w:spacing w:line="276" w:lineRule="auto"/>
        <w:jc w:val="both"/>
        <w:rPr>
          <w:rFonts w:ascii="Calibri" w:eastAsia="Calibri" w:hAnsi="Calibri"/>
        </w:rPr>
      </w:pPr>
      <w:r w:rsidRPr="001557A6">
        <w:rPr>
          <w:rFonts w:ascii="Calibri" w:eastAsia="Calibri" w:hAnsi="Calibri"/>
        </w:rPr>
        <w:t>Zanim zaczniemy jednak współczuć Duńczykom drożyzny, trzeba przypomnieć sobie, że przeciętne miesięczne wynagrodzenie w ich kraju jest aż o 505% wyższe niż w Polsce. Wskaźnik przedstawiający realną siłę nabywczą pieniądza, czyli PPS (</w:t>
      </w:r>
      <w:r w:rsidRPr="001557A6">
        <w:rPr>
          <w:rFonts w:ascii="Calibri" w:eastAsia="Calibri" w:hAnsi="Calibri"/>
          <w:i/>
        </w:rPr>
        <w:t>purchasing power standard</w:t>
      </w:r>
      <w:r w:rsidRPr="001557A6">
        <w:rPr>
          <w:rFonts w:ascii="Calibri" w:eastAsia="Calibri" w:hAnsi="Calibri"/>
        </w:rPr>
        <w:t>) dla średniej pensji krajowej w Danii jest o 72% wyższy niż w naszym kraju – 1 755 PPS w Polsce vs. 3 014 PSS w Danii.</w:t>
      </w:r>
    </w:p>
    <w:p w:rsidR="001557A6" w:rsidRPr="001557A6" w:rsidRDefault="001557A6" w:rsidP="001557A6">
      <w:pPr>
        <w:spacing w:line="276" w:lineRule="auto"/>
        <w:jc w:val="both"/>
        <w:rPr>
          <w:rFonts w:ascii="Calibri" w:eastAsia="Calibri" w:hAnsi="Calibri"/>
        </w:rPr>
      </w:pPr>
    </w:p>
    <w:p w:rsidR="001557A6" w:rsidRPr="001557A6" w:rsidRDefault="001557A6" w:rsidP="001557A6">
      <w:pPr>
        <w:spacing w:line="276" w:lineRule="auto"/>
        <w:jc w:val="both"/>
        <w:rPr>
          <w:rFonts w:ascii="Calibri" w:eastAsia="Calibri" w:hAnsi="Calibri"/>
        </w:rPr>
      </w:pPr>
      <w:r w:rsidRPr="001557A6">
        <w:rPr>
          <w:rFonts w:ascii="Calibri" w:eastAsia="Calibri" w:hAnsi="Calibri"/>
        </w:rPr>
        <w:t xml:space="preserve">Obraz realiów życia w Danii oddaje także raport Deutsche Banku </w:t>
      </w:r>
      <w:r w:rsidRPr="001557A6">
        <w:rPr>
          <w:rFonts w:ascii="Calibri" w:eastAsia="Calibri" w:hAnsi="Calibri"/>
          <w:i/>
        </w:rPr>
        <w:t>Mapping the Worlds Prices 2017</w:t>
      </w:r>
      <w:r w:rsidRPr="001557A6">
        <w:rPr>
          <w:rFonts w:ascii="Calibri" w:eastAsia="Calibri" w:hAnsi="Calibri"/>
        </w:rPr>
        <w:t xml:space="preserve">. Znalazło się w nim porównanie wysokości dochodu rozporządzalnego, który pozostaje do dyspozycji mieszkańców różnych miast świata po opłaceniu czynszu i podatków. I również pod tym względem stolica Danii znalazła się na najwyższym miejscu spośród miast Unii Europejskiej. W portfelach mieszkańców Kopenhagi, po zapłaceniu za najem mieszkania, pozostaje średnio 1,9 tys. EUR. Autorzy tego samego raportu ocenili miesięczny dochód rozporządzalny mieszkańców Warszawy na 466 EUR. </w:t>
      </w:r>
    </w:p>
    <w:p w:rsidR="001557A6" w:rsidRPr="001557A6" w:rsidRDefault="001557A6" w:rsidP="001557A6">
      <w:pPr>
        <w:spacing w:line="276" w:lineRule="auto"/>
        <w:ind w:left="708" w:firstLine="708"/>
        <w:jc w:val="both"/>
        <w:rPr>
          <w:rFonts w:ascii="Calibri" w:eastAsia="Calibri" w:hAnsi="Calibri"/>
        </w:rPr>
      </w:pPr>
    </w:p>
    <w:p w:rsidR="001557A6" w:rsidRPr="001557A6" w:rsidRDefault="001557A6" w:rsidP="001557A6">
      <w:pPr>
        <w:spacing w:line="259" w:lineRule="auto"/>
        <w:jc w:val="both"/>
        <w:rPr>
          <w:rFonts w:ascii="Calibri" w:eastAsia="Calibri" w:hAnsi="Calibri"/>
          <w:b/>
          <w:color w:val="1F497D"/>
          <w:sz w:val="26"/>
          <w:szCs w:val="26"/>
        </w:rPr>
      </w:pPr>
      <w:r w:rsidRPr="001557A6">
        <w:rPr>
          <w:rFonts w:ascii="Calibri" w:eastAsia="Calibri" w:hAnsi="Calibri"/>
          <w:b/>
          <w:color w:val="1F497D"/>
          <w:sz w:val="26"/>
          <w:szCs w:val="26"/>
        </w:rPr>
        <w:t>Deficyt pracowników</w:t>
      </w:r>
    </w:p>
    <w:p w:rsidR="001557A6" w:rsidRPr="001557A6" w:rsidRDefault="001557A6" w:rsidP="001557A6">
      <w:pPr>
        <w:spacing w:line="276" w:lineRule="auto"/>
        <w:jc w:val="both"/>
        <w:rPr>
          <w:rFonts w:ascii="Calibri" w:eastAsia="Calibri" w:hAnsi="Calibri"/>
        </w:rPr>
      </w:pPr>
      <w:r w:rsidRPr="001557A6">
        <w:rPr>
          <w:rFonts w:ascii="Calibri" w:eastAsia="Calibri" w:hAnsi="Calibri"/>
        </w:rPr>
        <w:t xml:space="preserve">Dania istotnie zmaga się z problemem deficytu pracowników. Brak wykwalifikowanej kadry na rodzimym rynku powoduje, że przedsiębiorcy poszukują pracowników poza granicami kraju. Angażują w ten proces również swoich podwładnych, nagradzając ich finansowo za polecenie pracodawcy nowego współpracownika. Nic dziwnego zatem, że z roku na rok rośnie liczba obcokrajowców pracujących w Danii. Przyciągają ich pokaźne zarobki i wysoki poziom życia, a barierę językową pomagają pokonać opłacane przez pracodawców intensywne kursy językowe. Na koniec 2016 roku w kraju, którego populacja wynosi 5,7 mln, pracowało 406 tys. cudzoziemców, w tym, jak podaje GUS, 30 tys. Polaków. </w:t>
      </w:r>
    </w:p>
    <w:p w:rsidR="001557A6" w:rsidRPr="001557A6" w:rsidRDefault="001557A6" w:rsidP="001557A6">
      <w:pPr>
        <w:spacing w:line="276" w:lineRule="auto"/>
        <w:jc w:val="both"/>
        <w:rPr>
          <w:rFonts w:ascii="Calibri" w:eastAsia="Calibri" w:hAnsi="Calibri"/>
        </w:rPr>
      </w:pPr>
    </w:p>
    <w:p w:rsidR="001557A6" w:rsidRPr="001557A6" w:rsidRDefault="001557A6" w:rsidP="001557A6">
      <w:pPr>
        <w:spacing w:line="259" w:lineRule="auto"/>
        <w:jc w:val="center"/>
        <w:rPr>
          <w:rFonts w:ascii="Calibri" w:eastAsia="Calibri" w:hAnsi="Calibri"/>
          <w:b/>
          <w:color w:val="002060"/>
          <w:szCs w:val="22"/>
        </w:rPr>
      </w:pPr>
      <w:r w:rsidRPr="001557A6">
        <w:rPr>
          <w:rFonts w:ascii="Calibri" w:eastAsia="Calibri" w:hAnsi="Calibri"/>
          <w:b/>
          <w:color w:val="002060"/>
          <w:szCs w:val="22"/>
        </w:rPr>
        <w:t xml:space="preserve">Wykres 3. Liczba zatrudnionych cudzoziemców ogółem </w:t>
      </w:r>
    </w:p>
    <w:p w:rsidR="001557A6" w:rsidRPr="001557A6" w:rsidRDefault="001557A6" w:rsidP="001557A6">
      <w:pPr>
        <w:spacing w:line="259" w:lineRule="auto"/>
        <w:jc w:val="center"/>
        <w:rPr>
          <w:rFonts w:ascii="Calibri" w:eastAsia="Calibri" w:hAnsi="Calibri"/>
          <w:b/>
          <w:color w:val="002060"/>
          <w:szCs w:val="22"/>
        </w:rPr>
      </w:pPr>
      <w:r w:rsidRPr="001557A6">
        <w:rPr>
          <w:rFonts w:ascii="Calibri" w:eastAsia="Calibri" w:hAnsi="Calibri"/>
          <w:b/>
          <w:color w:val="002060"/>
          <w:szCs w:val="22"/>
        </w:rPr>
        <w:t xml:space="preserve">oraz liczba cudzoziemców zatrudnionych na etat w latach 2010 – 2016 </w:t>
      </w:r>
    </w:p>
    <w:p w:rsidR="001557A6" w:rsidRPr="001557A6" w:rsidRDefault="001557A6" w:rsidP="001557A6">
      <w:pPr>
        <w:spacing w:after="160" w:line="259" w:lineRule="auto"/>
        <w:rPr>
          <w:rFonts w:ascii="Calibri" w:eastAsia="Calibri" w:hAnsi="Calibri"/>
        </w:rPr>
      </w:pPr>
      <w:r w:rsidRPr="001557A6">
        <w:rPr>
          <w:rFonts w:ascii="Calibri" w:eastAsia="Calibri" w:hAnsi="Calibri"/>
          <w:noProof/>
          <w:lang w:eastAsia="pl-PL"/>
        </w:rPr>
        <w:lastRenderedPageBreak/>
        <w:drawing>
          <wp:inline distT="0" distB="0" distL="0" distR="0" wp14:anchorId="6C29A0CC" wp14:editId="140AA700">
            <wp:extent cx="5486400" cy="3200400"/>
            <wp:effectExtent l="0" t="0" r="0" b="0"/>
            <wp:docPr id="3" name="Wykres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557A6" w:rsidRDefault="001557A6" w:rsidP="001557A6">
      <w:pPr>
        <w:spacing w:after="160" w:line="259" w:lineRule="auto"/>
        <w:jc w:val="center"/>
        <w:rPr>
          <w:rFonts w:ascii="Calibri" w:eastAsia="Calibri" w:hAnsi="Calibri"/>
          <w:i/>
          <w:sz w:val="20"/>
          <w:szCs w:val="20"/>
        </w:rPr>
      </w:pPr>
      <w:r w:rsidRPr="001557A6">
        <w:rPr>
          <w:rFonts w:ascii="Calibri" w:eastAsia="Calibri" w:hAnsi="Calibri"/>
          <w:i/>
          <w:sz w:val="20"/>
          <w:szCs w:val="20"/>
        </w:rPr>
        <w:t xml:space="preserve">Źródło: Opracowanie własne Sedlak </w:t>
      </w:r>
      <w:r w:rsidRPr="001557A6">
        <w:rPr>
          <w:rFonts w:ascii="Calibri" w:eastAsia="Calibri" w:hAnsi="Calibri"/>
          <w:i/>
          <w:sz w:val="16"/>
          <w:szCs w:val="20"/>
        </w:rPr>
        <w:t>&amp;</w:t>
      </w:r>
      <w:r w:rsidRPr="001557A6">
        <w:rPr>
          <w:rFonts w:ascii="Calibri" w:eastAsia="Calibri" w:hAnsi="Calibri"/>
          <w:i/>
          <w:sz w:val="20"/>
          <w:szCs w:val="20"/>
        </w:rPr>
        <w:t xml:space="preserve"> Sedlak na podstawie jobindsats.dk</w:t>
      </w:r>
    </w:p>
    <w:p w:rsidR="001557A6" w:rsidRPr="001557A6" w:rsidRDefault="001557A6" w:rsidP="001557A6">
      <w:pPr>
        <w:spacing w:after="160" w:line="259" w:lineRule="auto"/>
        <w:jc w:val="center"/>
        <w:rPr>
          <w:rFonts w:ascii="Calibri" w:eastAsia="Calibri" w:hAnsi="Calibri"/>
          <w:i/>
          <w:sz w:val="20"/>
          <w:szCs w:val="20"/>
        </w:rPr>
      </w:pPr>
    </w:p>
    <w:p w:rsidR="001557A6" w:rsidRPr="001557A6" w:rsidRDefault="001557A6" w:rsidP="001557A6">
      <w:pPr>
        <w:spacing w:line="276" w:lineRule="auto"/>
        <w:jc w:val="both"/>
        <w:rPr>
          <w:rFonts w:ascii="Calibri" w:eastAsia="Calibri" w:hAnsi="Calibri"/>
        </w:rPr>
      </w:pPr>
      <w:r w:rsidRPr="001557A6">
        <w:rPr>
          <w:rFonts w:ascii="Calibri" w:eastAsia="Calibri" w:hAnsi="Calibri"/>
        </w:rPr>
        <w:t xml:space="preserve">Wszystko wskazuje zatem na to, że wysokie koszty utrzymania nie odstraszają cudzoziemców przed przeprowadzką do Danii. Ponadto przytoczone powyżej analizy dowodzą, że sowite wynagrodzenia rekompensują drogie koszty najmu nieruchomości czy wysokie ceny produktów. Z tego powodu Dania może stanowić wart rozważenia cel emigracji zarobkowej, zwłaszcza dla wykwalifikowanych specjalistów.  </w:t>
      </w:r>
    </w:p>
    <w:p w:rsidR="001557A6" w:rsidRPr="001557A6" w:rsidRDefault="001557A6" w:rsidP="001557A6">
      <w:pPr>
        <w:spacing w:line="276" w:lineRule="auto"/>
        <w:jc w:val="both"/>
        <w:rPr>
          <w:rFonts w:ascii="Calibri" w:eastAsia="Calibri" w:hAnsi="Calibri"/>
          <w:i/>
        </w:rPr>
      </w:pPr>
    </w:p>
    <w:p w:rsidR="00E52BE5" w:rsidRPr="00E52BE5" w:rsidRDefault="00E52BE5" w:rsidP="00E52BE5">
      <w:pPr>
        <w:spacing w:line="276" w:lineRule="auto"/>
        <w:jc w:val="both"/>
        <w:rPr>
          <w:rFonts w:ascii="Calibri" w:hAnsi="Calibri"/>
          <w:szCs w:val="22"/>
          <w:lang w:eastAsia="pl-PL"/>
        </w:rPr>
      </w:pPr>
    </w:p>
    <w:p w:rsidR="00A31385" w:rsidRPr="0058086E" w:rsidRDefault="00A31385" w:rsidP="0058086E">
      <w:pPr>
        <w:pStyle w:val="tekstsedlak"/>
      </w:pPr>
    </w:p>
    <w:p w:rsidR="0000005A" w:rsidRPr="00A217F4" w:rsidRDefault="0000005A" w:rsidP="00BC1378">
      <w:pPr>
        <w:spacing w:line="276" w:lineRule="auto"/>
        <w:rPr>
          <w:rFonts w:asciiTheme="minorHAnsi" w:eastAsiaTheme="minorHAnsi" w:hAnsiTheme="minorHAnsi"/>
          <w:lang w:eastAsia="pl-PL"/>
        </w:rPr>
      </w:pPr>
    </w:p>
    <w:p w:rsidR="00C755CB" w:rsidRPr="00A217F4" w:rsidRDefault="003D0853" w:rsidP="00BC1378">
      <w:pPr>
        <w:pStyle w:val="aboutus"/>
        <w:spacing w:line="276" w:lineRule="auto"/>
        <w:ind w:left="0"/>
        <w:rPr>
          <w:rFonts w:asciiTheme="minorHAnsi" w:hAnsiTheme="minorHAnsi"/>
          <w:sz w:val="20"/>
          <w:szCs w:val="18"/>
        </w:rPr>
      </w:pPr>
      <w:r>
        <w:rPr>
          <w:rFonts w:asciiTheme="minorHAnsi" w:hAnsiTheme="minorHAnsi"/>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36830</wp:posOffset>
                </wp:positionV>
                <wp:extent cx="5219700" cy="635"/>
                <wp:effectExtent l="0" t="0" r="19050" b="37465"/>
                <wp:wrapNone/>
                <wp:docPr id="7"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9700" cy="635"/>
                        </a:xfrm>
                        <a:prstGeom prst="straightConnector1">
                          <a:avLst/>
                        </a:prstGeom>
                        <a:noFill/>
                        <a:ln w="19050">
                          <a:solidFill>
                            <a:srgbClr val="5462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A46BCC" id="_x0000_t32" coordsize="21600,21600" o:spt="32" o:oned="t" path="m,l21600,21600e" filled="f">
                <v:path arrowok="t" fillok="f" o:connecttype="none"/>
                <o:lock v:ext="edit" shapetype="t"/>
              </v:shapetype>
              <v:shape id="AutoShape 5" o:spid="_x0000_s1026" type="#_x0000_t32" style="position:absolute;margin-left:0;margin-top:2.9pt;width:411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" strokecolor="#54628d" strokeweight="1.5pt"/>
            </w:pict>
          </mc:Fallback>
        </mc:AlternateContent>
      </w:r>
    </w:p>
    <w:p w:rsidR="008A5839" w:rsidRPr="00A217F4" w:rsidRDefault="008A5839" w:rsidP="00BC1378">
      <w:pPr>
        <w:pStyle w:val="aboutus"/>
        <w:spacing w:line="276" w:lineRule="auto"/>
        <w:ind w:left="0"/>
        <w:jc w:val="center"/>
        <w:rPr>
          <w:rFonts w:asciiTheme="minorHAnsi" w:hAnsiTheme="minorHAnsi"/>
          <w:sz w:val="20"/>
          <w:szCs w:val="18"/>
        </w:rPr>
      </w:pPr>
      <w:r w:rsidRPr="00A217F4">
        <w:rPr>
          <w:rFonts w:asciiTheme="minorHAnsi" w:hAnsiTheme="minorHAnsi"/>
          <w:b w:val="0"/>
          <w:bCs w:val="0"/>
          <w:noProof/>
          <w:sz w:val="20"/>
        </w:rPr>
        <w:drawing>
          <wp:inline distT="0" distB="0" distL="0" distR="0">
            <wp:extent cx="1619250" cy="200025"/>
            <wp:effectExtent l="0" t="0" r="0" b="0"/>
            <wp:docPr id="2" name="Obraz 2" descr="logo_wynagrodzenia">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wynagrodzenia"/>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19250" cy="200025"/>
                    </a:xfrm>
                    <a:prstGeom prst="rect">
                      <a:avLst/>
                    </a:prstGeom>
                    <a:noFill/>
                    <a:ln>
                      <a:noFill/>
                    </a:ln>
                  </pic:spPr>
                </pic:pic>
              </a:graphicData>
            </a:graphic>
          </wp:inline>
        </w:drawing>
      </w:r>
    </w:p>
    <w:p w:rsidR="003974B4" w:rsidRPr="0058086E" w:rsidRDefault="00EA72FE" w:rsidP="0058086E">
      <w:pPr>
        <w:autoSpaceDE w:val="0"/>
        <w:autoSpaceDN w:val="0"/>
        <w:adjustRightInd w:val="0"/>
        <w:spacing w:before="240"/>
        <w:rPr>
          <w:rFonts w:ascii="Helv" w:eastAsia="Calibri" w:hAnsi="Helv" w:cs="Helv"/>
          <w:b/>
          <w:bCs/>
          <w:color w:val="000000"/>
          <w:sz w:val="20"/>
          <w:szCs w:val="20"/>
          <w:lang w:eastAsia="pl-PL"/>
        </w:rPr>
      </w:pPr>
      <w:r w:rsidRPr="00A217F4">
        <w:rPr>
          <w:rFonts w:asciiTheme="minorHAnsi" w:eastAsia="Calibri" w:hAnsiTheme="minorHAnsi" w:cs="Calibri"/>
          <w:b/>
          <w:sz w:val="22"/>
          <w:lang w:eastAsia="pl-PL"/>
        </w:rPr>
        <w:t xml:space="preserve">Sedlak </w:t>
      </w:r>
      <w:r w:rsidRPr="00A217F4">
        <w:rPr>
          <w:rFonts w:asciiTheme="minorHAnsi" w:eastAsia="Calibri" w:hAnsiTheme="minorHAnsi" w:cs="Calibri"/>
          <w:b/>
          <w:sz w:val="18"/>
          <w:lang w:eastAsia="pl-PL"/>
        </w:rPr>
        <w:t>&amp;</w:t>
      </w:r>
      <w:r w:rsidRPr="00A217F4">
        <w:rPr>
          <w:rFonts w:asciiTheme="minorHAnsi" w:eastAsia="Calibri" w:hAnsiTheme="minorHAnsi" w:cs="Calibri"/>
          <w:b/>
          <w:sz w:val="22"/>
          <w:lang w:eastAsia="pl-PL"/>
        </w:rPr>
        <w:t xml:space="preserve"> Sedlak wyraża zgodę na publikację niniejszego opracowania pod warunkiem powołania się na źródło: wynagrodzenia.pl oraz zamies</w:t>
      </w:r>
      <w:r w:rsidR="00070AED" w:rsidRPr="00A217F4">
        <w:rPr>
          <w:rFonts w:asciiTheme="minorHAnsi" w:eastAsia="Calibri" w:hAnsiTheme="minorHAnsi" w:cs="Calibri"/>
          <w:b/>
          <w:sz w:val="22"/>
          <w:lang w:eastAsia="pl-PL"/>
        </w:rPr>
        <w:t xml:space="preserve">zczenie pod artykułem aktywnego </w:t>
      </w:r>
      <w:r w:rsidRPr="00A217F4">
        <w:rPr>
          <w:rFonts w:asciiTheme="minorHAnsi" w:eastAsia="Calibri" w:hAnsiTheme="minorHAnsi" w:cs="Calibri"/>
          <w:b/>
          <w:sz w:val="22"/>
          <w:lang w:eastAsia="pl-PL"/>
        </w:rPr>
        <w:t>linku do strony Ogól</w:t>
      </w:r>
      <w:r w:rsidR="00070AED" w:rsidRPr="00A217F4">
        <w:rPr>
          <w:rFonts w:asciiTheme="minorHAnsi" w:eastAsia="Calibri" w:hAnsiTheme="minorHAnsi" w:cs="Calibri"/>
          <w:b/>
          <w:sz w:val="22"/>
          <w:lang w:eastAsia="pl-PL"/>
        </w:rPr>
        <w:t>nopo</w:t>
      </w:r>
      <w:r w:rsidR="00877EA4">
        <w:rPr>
          <w:rFonts w:asciiTheme="minorHAnsi" w:eastAsia="Calibri" w:hAnsiTheme="minorHAnsi" w:cs="Calibri"/>
          <w:b/>
          <w:sz w:val="22"/>
          <w:lang w:eastAsia="pl-PL"/>
        </w:rPr>
        <w:t xml:space="preserve">lskiego Badania Wynagrodzeń </w:t>
      </w:r>
      <w:r w:rsidRPr="00A217F4">
        <w:rPr>
          <w:rFonts w:asciiTheme="minorHAnsi" w:eastAsia="Calibri" w:hAnsiTheme="minorHAnsi" w:cs="Calibri"/>
          <w:b/>
          <w:sz w:val="22"/>
          <w:lang w:eastAsia="pl-PL"/>
        </w:rPr>
        <w:t>(</w:t>
      </w:r>
      <w:hyperlink r:id="rId15" w:history="1">
        <w:r w:rsidR="000220E7" w:rsidRPr="000220E7">
          <w:rPr>
            <w:rStyle w:val="Hipercze"/>
            <w:rFonts w:ascii="Calibri" w:eastAsia="Calibri" w:hAnsi="Calibri" w:cs="Calibri"/>
            <w:b/>
            <w:bCs/>
            <w:sz w:val="22"/>
            <w:szCs w:val="22"/>
            <w:lang w:eastAsia="pl-PL"/>
          </w:rPr>
          <w:t>http://wynagrodzenia.pl/</w:t>
        </w:r>
        <w:r w:rsidR="000220E7" w:rsidRPr="000220E7">
          <w:rPr>
            <w:rStyle w:val="Hipercze"/>
            <w:rFonts w:ascii="Helv" w:eastAsia="Calibri" w:hAnsi="Helv" w:cs="Helv"/>
            <w:b/>
            <w:bCs/>
            <w:sz w:val="20"/>
            <w:szCs w:val="20"/>
            <w:lang w:eastAsia="pl-PL"/>
          </w:rPr>
          <w:t>t/ogolnopolskie-badanie-wynagrodzen-np</w:t>
        </w:r>
      </w:hyperlink>
      <w:r w:rsidRPr="00A217F4">
        <w:rPr>
          <w:rFonts w:asciiTheme="minorHAnsi" w:eastAsia="Calibri" w:hAnsiTheme="minorHAnsi" w:cs="Calibri"/>
          <w:b/>
          <w:sz w:val="22"/>
          <w:lang w:eastAsia="pl-PL"/>
        </w:rPr>
        <w:t xml:space="preserve">) czcionką nie mniejszą niż czcionka użyta w publikacji. </w:t>
      </w:r>
    </w:p>
    <w:sectPr w:rsidR="003974B4" w:rsidRPr="0058086E" w:rsidSect="00E107E8">
      <w:headerReference w:type="default" r:id="rId16"/>
      <w:footerReference w:type="default" r:id="rId17"/>
      <w:pgSz w:w="11906" w:h="16838"/>
      <w:pgMar w:top="1950" w:right="1418" w:bottom="1985" w:left="2268" w:header="709" w:footer="3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E49" w:rsidRDefault="00583E49">
      <w:r>
        <w:separator/>
      </w:r>
    </w:p>
  </w:endnote>
  <w:endnote w:type="continuationSeparator" w:id="0">
    <w:p w:rsidR="00583E49" w:rsidRDefault="00583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62A" w:rsidRDefault="003D0853">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noProof/>
        <w:color w:val="4F648B"/>
        <w:sz w:val="12"/>
        <w:szCs w:val="12"/>
        <w:lang w:eastAsia="pl-PL"/>
      </w:rPr>
      <mc:AlternateContent>
        <mc:Choice Requires="wps">
          <w:drawing>
            <wp:anchor distT="0" distB="0" distL="114300" distR="114300" simplePos="0" relativeHeight="251657728" behindDoc="0" locked="0" layoutInCell="1" allowOverlap="1">
              <wp:simplePos x="0" y="0"/>
              <wp:positionH relativeFrom="column">
                <wp:posOffset>-127635</wp:posOffset>
              </wp:positionH>
              <wp:positionV relativeFrom="paragraph">
                <wp:posOffset>-16510</wp:posOffset>
              </wp:positionV>
              <wp:extent cx="635" cy="862965"/>
              <wp:effectExtent l="0" t="0" r="37465" b="3238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296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3267E9" id="_x0000_t32" coordsize="21600,21600" o:spt="32" o:oned="t" path="m,l21600,21600e" filled="f">
              <v:path arrowok="t" fillok="f" o:connecttype="none"/>
              <o:lock v:ext="edit" shapetype="t"/>
            </v:shapetype>
            <v:shape id="AutoShape 10" o:spid="_x0000_s1026" type="#_x0000_t32" style="position:absolute;margin-left:-10.05pt;margin-top:-1.3pt;width:.05pt;height:67.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" strokecolor="#e2aa1e"/>
          </w:pict>
        </mc:Fallback>
      </mc:AlternateContent>
    </w:r>
    <w:r w:rsidR="0007162A">
      <w:rPr>
        <w:rFonts w:ascii="Arial" w:hAnsi="Arial" w:cs="Arial"/>
        <w:color w:val="4F648B"/>
        <w:sz w:val="12"/>
        <w:szCs w:val="12"/>
      </w:rPr>
      <w:t xml:space="preserve">Sedlak </w:t>
    </w:r>
    <w:r w:rsidR="0007162A">
      <w:rPr>
        <w:rFonts w:ascii="Arial" w:hAnsi="Arial" w:cs="Arial"/>
        <w:color w:val="4F648B"/>
        <w:sz w:val="10"/>
        <w:szCs w:val="10"/>
      </w:rPr>
      <w:t>&amp;</w:t>
    </w:r>
    <w:r w:rsidR="0007162A">
      <w:rPr>
        <w:rFonts w:ascii="Arial" w:hAnsi="Arial" w:cs="Arial"/>
        <w:color w:val="4F648B"/>
        <w:sz w:val="12"/>
        <w:szCs w:val="12"/>
      </w:rPr>
      <w:t xml:space="preserve"> Sedlak</w:t>
    </w:r>
    <w:r w:rsidR="0007162A">
      <w:rPr>
        <w:rFonts w:ascii="Arial" w:hAnsi="Arial" w:cs="Arial"/>
        <w:color w:val="4F648B"/>
        <w:sz w:val="12"/>
        <w:szCs w:val="12"/>
      </w:rPr>
      <w:tab/>
      <w:t>tel. +48 12 625 59 10</w:t>
    </w:r>
    <w:r w:rsidR="0007162A">
      <w:rPr>
        <w:rFonts w:ascii="Arial" w:hAnsi="Arial" w:cs="Arial"/>
        <w:color w:val="4F648B"/>
        <w:sz w:val="12"/>
        <w:szCs w:val="12"/>
      </w:rPr>
      <w:tab/>
      <w:t>www.sedlak.pl</w:t>
    </w:r>
    <w:r w:rsidR="0007162A">
      <w:rPr>
        <w:rFonts w:ascii="Arial" w:hAnsi="Arial" w:cs="Arial"/>
        <w:color w:val="4F648B"/>
        <w:sz w:val="12"/>
        <w:szCs w:val="12"/>
      </w:rPr>
      <w:br/>
      <w:t>ul. Królowej Jadwigi 189 B</w:t>
    </w:r>
    <w:r w:rsidR="0007162A">
      <w:rPr>
        <w:rFonts w:ascii="Arial" w:hAnsi="Arial" w:cs="Arial"/>
        <w:color w:val="4F648B"/>
        <w:sz w:val="12"/>
        <w:szCs w:val="12"/>
      </w:rPr>
      <w:tab/>
      <w:t>fax +48 12 625 59 20</w:t>
    </w:r>
    <w:r w:rsidR="0007162A">
      <w:rPr>
        <w:rFonts w:ascii="Arial" w:hAnsi="Arial" w:cs="Arial"/>
        <w:color w:val="4F648B"/>
        <w:sz w:val="12"/>
        <w:szCs w:val="12"/>
      </w:rPr>
      <w:tab/>
      <w:t>www.rynekpracy.pl</w:t>
    </w:r>
  </w:p>
  <w:p w:rsidR="0007162A" w:rsidRDefault="0007162A">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color w:val="4F648B"/>
        <w:sz w:val="12"/>
        <w:szCs w:val="12"/>
      </w:rPr>
      <w:t xml:space="preserve">30-220 Kraków </w:t>
    </w:r>
    <w:r>
      <w:rPr>
        <w:rFonts w:ascii="Arial" w:hAnsi="Arial" w:cs="Arial"/>
        <w:color w:val="4F648B"/>
        <w:sz w:val="12"/>
        <w:szCs w:val="12"/>
      </w:rPr>
      <w:tab/>
      <w:t>sedlak@sedlak.pl</w:t>
    </w:r>
    <w:r>
      <w:rPr>
        <w:rFonts w:ascii="Arial" w:hAnsi="Arial" w:cs="Arial"/>
        <w:color w:val="4F648B"/>
        <w:sz w:val="12"/>
        <w:szCs w:val="12"/>
      </w:rPr>
      <w:tab/>
      <w:t>www.wynagrodzenia.pl</w:t>
    </w:r>
  </w:p>
  <w:p w:rsidR="0007162A" w:rsidRDefault="0007162A">
    <w:pPr>
      <w:pStyle w:val="Stopka"/>
      <w:tabs>
        <w:tab w:val="clear" w:pos="4536"/>
        <w:tab w:val="left" w:pos="1418"/>
      </w:tabs>
      <w:spacing w:line="360" w:lineRule="auto"/>
      <w:ind w:left="-1843"/>
      <w:rPr>
        <w:rFonts w:ascii="Arial" w:hAnsi="Arial" w:cs="Arial"/>
        <w:color w:val="4F648B"/>
        <w:sz w:val="12"/>
        <w:szCs w:val="12"/>
      </w:rPr>
    </w:pPr>
    <w:r>
      <w:rPr>
        <w:rFonts w:ascii="Arial" w:hAnsi="Arial" w:cs="Arial"/>
        <w:color w:val="4F648B"/>
        <w:sz w:val="12"/>
        <w:szCs w:val="12"/>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E49" w:rsidRDefault="00583E49">
      <w:r>
        <w:separator/>
      </w:r>
    </w:p>
  </w:footnote>
  <w:footnote w:type="continuationSeparator" w:id="0">
    <w:p w:rsidR="00583E49" w:rsidRDefault="00583E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62A" w:rsidRDefault="0007162A">
    <w:pPr>
      <w:pStyle w:val="Nagwek"/>
    </w:pPr>
    <w:r>
      <w:rPr>
        <w:noProof/>
        <w:lang w:eastAsia="pl-PL"/>
      </w:rPr>
      <w:drawing>
        <wp:anchor distT="0" distB="0" distL="114300" distR="114300" simplePos="0" relativeHeight="251656704" behindDoc="0" locked="0" layoutInCell="1" allowOverlap="1">
          <wp:simplePos x="0" y="0"/>
          <wp:positionH relativeFrom="column">
            <wp:posOffset>-59055</wp:posOffset>
          </wp:positionH>
          <wp:positionV relativeFrom="paragraph">
            <wp:posOffset>197485</wp:posOffset>
          </wp:positionV>
          <wp:extent cx="1920875" cy="257175"/>
          <wp:effectExtent l="19050" t="0" r="3175" b="0"/>
          <wp:wrapNone/>
          <wp:docPr id="9" name="Obraz 9" descr="logo_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_papier"/>
                  <pic:cNvPicPr>
                    <a:picLocks noChangeAspect="1" noChangeArrowheads="1"/>
                  </pic:cNvPicPr>
                </pic:nvPicPr>
                <pic:blipFill>
                  <a:blip r:embed="rId1"/>
                  <a:srcRect/>
                  <a:stretch>
                    <a:fillRect/>
                  </a:stretch>
                </pic:blipFill>
                <pic:spPr bwMode="auto">
                  <a:xfrm>
                    <a:off x="0" y="0"/>
                    <a:ext cx="1920875" cy="257175"/>
                  </a:xfrm>
                  <a:prstGeom prst="rect">
                    <a:avLst/>
                  </a:prstGeom>
                  <a:noFill/>
                  <a:ln w="9525">
                    <a:noFill/>
                    <a:miter lim="800000"/>
                    <a:headEnd/>
                    <a:tailEnd/>
                  </a:ln>
                </pic:spPr>
              </pic:pic>
            </a:graphicData>
          </a:graphic>
        </wp:anchor>
      </w:drawing>
    </w:r>
    <w:r w:rsidR="003D0853">
      <w:rPr>
        <w:rFonts w:ascii="Arial" w:hAnsi="Arial" w:cs="Arial"/>
        <w:noProof/>
        <w:color w:val="4F648B"/>
        <w:sz w:val="12"/>
        <w:szCs w:val="12"/>
        <w:lang w:eastAsia="pl-PL"/>
      </w:rPr>
      <mc:AlternateContent>
        <mc:Choice Requires="wps">
          <w:drawing>
            <wp:anchor distT="0" distB="0" distL="114298" distR="114298" simplePos="0" relativeHeight="251658752" behindDoc="0" locked="0" layoutInCell="1" allowOverlap="1">
              <wp:simplePos x="0" y="0"/>
              <wp:positionH relativeFrom="column">
                <wp:posOffset>-127636</wp:posOffset>
              </wp:positionH>
              <wp:positionV relativeFrom="paragraph">
                <wp:posOffset>-189865</wp:posOffset>
              </wp:positionV>
              <wp:extent cx="0" cy="644525"/>
              <wp:effectExtent l="0" t="0" r="19050" b="22225"/>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452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6A45B7" id="_x0000_t32" coordsize="21600,21600" o:spt="32" o:oned="t" path="m,l21600,21600e" filled="f">
              <v:path arrowok="t" fillok="f" o:connecttype="none"/>
              <o:lock v:ext="edit" shapetype="t"/>
            </v:shapetype>
            <v:shape id="AutoShape 11" o:spid="_x0000_s1026" type="#_x0000_t32" style="position:absolute;margin-left:-10.05pt;margin-top:-14.95pt;width:0;height:50.75pt;z-index:2516587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" strokecolor="#e2aa1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F517C"/>
    <w:multiLevelType w:val="hybridMultilevel"/>
    <w:tmpl w:val="8724F9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716115"/>
    <w:multiLevelType w:val="multilevel"/>
    <w:tmpl w:val="46409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5C274F"/>
    <w:multiLevelType w:val="multilevel"/>
    <w:tmpl w:val="810C0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0A3883"/>
    <w:multiLevelType w:val="multilevel"/>
    <w:tmpl w:val="723A8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6F58B3"/>
    <w:multiLevelType w:val="hybridMultilevel"/>
    <w:tmpl w:val="039239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7B093F"/>
    <w:multiLevelType w:val="hybridMultilevel"/>
    <w:tmpl w:val="AD1200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3483C47"/>
    <w:multiLevelType w:val="hybridMultilevel"/>
    <w:tmpl w:val="9C9A489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017778"/>
    <w:multiLevelType w:val="multilevel"/>
    <w:tmpl w:val="1AFA4A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93E5754"/>
    <w:multiLevelType w:val="hybridMultilevel"/>
    <w:tmpl w:val="1ADCC3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9C937C8"/>
    <w:multiLevelType w:val="hybridMultilevel"/>
    <w:tmpl w:val="483EC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A87EC1"/>
    <w:multiLevelType w:val="hybridMultilevel"/>
    <w:tmpl w:val="FCEEF1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49E61D4"/>
    <w:multiLevelType w:val="hybridMultilevel"/>
    <w:tmpl w:val="B49A0E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959379D"/>
    <w:multiLevelType w:val="multilevel"/>
    <w:tmpl w:val="71821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0215E1"/>
    <w:multiLevelType w:val="multilevel"/>
    <w:tmpl w:val="2B4C7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A3C4496"/>
    <w:multiLevelType w:val="hybridMultilevel"/>
    <w:tmpl w:val="8FBA7786"/>
    <w:lvl w:ilvl="0" w:tplc="6EA2CFBA">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CC92ADB"/>
    <w:multiLevelType w:val="multilevel"/>
    <w:tmpl w:val="BA4C9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0547E8F"/>
    <w:multiLevelType w:val="hybridMultilevel"/>
    <w:tmpl w:val="3230B264"/>
    <w:lvl w:ilvl="0" w:tplc="381A85FA">
      <w:start w:val="1"/>
      <w:numFmt w:val="bullet"/>
      <w:lvlText w:val=""/>
      <w:lvlJc w:val="left"/>
      <w:pPr>
        <w:tabs>
          <w:tab w:val="num" w:pos="720"/>
        </w:tabs>
        <w:ind w:left="720" w:hanging="360"/>
      </w:pPr>
      <w:rPr>
        <w:rFonts w:ascii="Symbol" w:hAnsi="Symbol" w:hint="default"/>
        <w:sz w:val="20"/>
      </w:rPr>
    </w:lvl>
    <w:lvl w:ilvl="1" w:tplc="708C13B2" w:tentative="1">
      <w:start w:val="1"/>
      <w:numFmt w:val="bullet"/>
      <w:lvlText w:val="o"/>
      <w:lvlJc w:val="left"/>
      <w:pPr>
        <w:tabs>
          <w:tab w:val="num" w:pos="1440"/>
        </w:tabs>
        <w:ind w:left="1440" w:hanging="360"/>
      </w:pPr>
      <w:rPr>
        <w:rFonts w:ascii="Courier New" w:hAnsi="Courier New" w:hint="default"/>
        <w:sz w:val="20"/>
      </w:rPr>
    </w:lvl>
    <w:lvl w:ilvl="2" w:tplc="F370973E" w:tentative="1">
      <w:start w:val="1"/>
      <w:numFmt w:val="bullet"/>
      <w:lvlText w:val=""/>
      <w:lvlJc w:val="left"/>
      <w:pPr>
        <w:tabs>
          <w:tab w:val="num" w:pos="2160"/>
        </w:tabs>
        <w:ind w:left="2160" w:hanging="360"/>
      </w:pPr>
      <w:rPr>
        <w:rFonts w:ascii="Wingdings" w:hAnsi="Wingdings" w:hint="default"/>
        <w:sz w:val="20"/>
      </w:rPr>
    </w:lvl>
    <w:lvl w:ilvl="3" w:tplc="A43AEE72" w:tentative="1">
      <w:start w:val="1"/>
      <w:numFmt w:val="bullet"/>
      <w:lvlText w:val=""/>
      <w:lvlJc w:val="left"/>
      <w:pPr>
        <w:tabs>
          <w:tab w:val="num" w:pos="2880"/>
        </w:tabs>
        <w:ind w:left="2880" w:hanging="360"/>
      </w:pPr>
      <w:rPr>
        <w:rFonts w:ascii="Wingdings" w:hAnsi="Wingdings" w:hint="default"/>
        <w:sz w:val="20"/>
      </w:rPr>
    </w:lvl>
    <w:lvl w:ilvl="4" w:tplc="3BE403A4" w:tentative="1">
      <w:start w:val="1"/>
      <w:numFmt w:val="bullet"/>
      <w:lvlText w:val=""/>
      <w:lvlJc w:val="left"/>
      <w:pPr>
        <w:tabs>
          <w:tab w:val="num" w:pos="3600"/>
        </w:tabs>
        <w:ind w:left="3600" w:hanging="360"/>
      </w:pPr>
      <w:rPr>
        <w:rFonts w:ascii="Wingdings" w:hAnsi="Wingdings" w:hint="default"/>
        <w:sz w:val="20"/>
      </w:rPr>
    </w:lvl>
    <w:lvl w:ilvl="5" w:tplc="03E85AD4" w:tentative="1">
      <w:start w:val="1"/>
      <w:numFmt w:val="bullet"/>
      <w:lvlText w:val=""/>
      <w:lvlJc w:val="left"/>
      <w:pPr>
        <w:tabs>
          <w:tab w:val="num" w:pos="4320"/>
        </w:tabs>
        <w:ind w:left="4320" w:hanging="360"/>
      </w:pPr>
      <w:rPr>
        <w:rFonts w:ascii="Wingdings" w:hAnsi="Wingdings" w:hint="default"/>
        <w:sz w:val="20"/>
      </w:rPr>
    </w:lvl>
    <w:lvl w:ilvl="6" w:tplc="D90E67E0" w:tentative="1">
      <w:start w:val="1"/>
      <w:numFmt w:val="bullet"/>
      <w:lvlText w:val=""/>
      <w:lvlJc w:val="left"/>
      <w:pPr>
        <w:tabs>
          <w:tab w:val="num" w:pos="5040"/>
        </w:tabs>
        <w:ind w:left="5040" w:hanging="360"/>
      </w:pPr>
      <w:rPr>
        <w:rFonts w:ascii="Wingdings" w:hAnsi="Wingdings" w:hint="default"/>
        <w:sz w:val="20"/>
      </w:rPr>
    </w:lvl>
    <w:lvl w:ilvl="7" w:tplc="52249EE0" w:tentative="1">
      <w:start w:val="1"/>
      <w:numFmt w:val="bullet"/>
      <w:lvlText w:val=""/>
      <w:lvlJc w:val="left"/>
      <w:pPr>
        <w:tabs>
          <w:tab w:val="num" w:pos="5760"/>
        </w:tabs>
        <w:ind w:left="5760" w:hanging="360"/>
      </w:pPr>
      <w:rPr>
        <w:rFonts w:ascii="Wingdings" w:hAnsi="Wingdings" w:hint="default"/>
        <w:sz w:val="20"/>
      </w:rPr>
    </w:lvl>
    <w:lvl w:ilvl="8" w:tplc="6F22041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0462B7"/>
    <w:multiLevelType w:val="multilevel"/>
    <w:tmpl w:val="8B48D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4DD6664"/>
    <w:multiLevelType w:val="multilevel"/>
    <w:tmpl w:val="BA4A5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59A2C4B"/>
    <w:multiLevelType w:val="hybridMultilevel"/>
    <w:tmpl w:val="E97A99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0412B4E"/>
    <w:multiLevelType w:val="multilevel"/>
    <w:tmpl w:val="2BB2A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1081A63"/>
    <w:multiLevelType w:val="hybridMultilevel"/>
    <w:tmpl w:val="0FE41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79435B9"/>
    <w:multiLevelType w:val="hybridMultilevel"/>
    <w:tmpl w:val="9FF60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EAD131C"/>
    <w:multiLevelType w:val="hybridMultilevel"/>
    <w:tmpl w:val="BFB2B6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8"/>
  </w:num>
  <w:num w:numId="4">
    <w:abstractNumId w:val="14"/>
  </w:num>
  <w:num w:numId="5">
    <w:abstractNumId w:val="11"/>
  </w:num>
  <w:num w:numId="6">
    <w:abstractNumId w:val="23"/>
  </w:num>
  <w:num w:numId="7">
    <w:abstractNumId w:val="20"/>
  </w:num>
  <w:num w:numId="8">
    <w:abstractNumId w:val="7"/>
  </w:num>
  <w:num w:numId="9">
    <w:abstractNumId w:val="0"/>
  </w:num>
  <w:num w:numId="10">
    <w:abstractNumId w:val="4"/>
  </w:num>
  <w:num w:numId="11">
    <w:abstractNumId w:val="17"/>
  </w:num>
  <w:num w:numId="12">
    <w:abstractNumId w:val="13"/>
  </w:num>
  <w:num w:numId="13">
    <w:abstractNumId w:val="1"/>
  </w:num>
  <w:num w:numId="14">
    <w:abstractNumId w:val="2"/>
  </w:num>
  <w:num w:numId="15">
    <w:abstractNumId w:val="18"/>
  </w:num>
  <w:num w:numId="16">
    <w:abstractNumId w:val="12"/>
  </w:num>
  <w:num w:numId="17">
    <w:abstractNumId w:val="22"/>
  </w:num>
  <w:num w:numId="18">
    <w:abstractNumId w:val="15"/>
  </w:num>
  <w:num w:numId="19">
    <w:abstractNumId w:val="19"/>
  </w:num>
  <w:num w:numId="20">
    <w:abstractNumId w:val="9"/>
  </w:num>
  <w:num w:numId="21">
    <w:abstractNumId w:val="5"/>
  </w:num>
  <w:num w:numId="22">
    <w:abstractNumId w:val="10"/>
  </w:num>
  <w:num w:numId="23">
    <w:abstractNumId w:val="21"/>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53601" strokecolor="#54628d">
      <v:stroke color="#54628d" weight="1.5pt"/>
      <o:colormru v:ext="edit" colors="#e2aa1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812"/>
    <w:rsid w:val="0000005A"/>
    <w:rsid w:val="00000F26"/>
    <w:rsid w:val="0000157E"/>
    <w:rsid w:val="00011D89"/>
    <w:rsid w:val="00011F76"/>
    <w:rsid w:val="00013B3F"/>
    <w:rsid w:val="00017A00"/>
    <w:rsid w:val="00020694"/>
    <w:rsid w:val="00021177"/>
    <w:rsid w:val="000220E7"/>
    <w:rsid w:val="00033E7A"/>
    <w:rsid w:val="00035685"/>
    <w:rsid w:val="0004176F"/>
    <w:rsid w:val="00043BA9"/>
    <w:rsid w:val="000447AA"/>
    <w:rsid w:val="00046455"/>
    <w:rsid w:val="0004729F"/>
    <w:rsid w:val="00053C6B"/>
    <w:rsid w:val="00054F2C"/>
    <w:rsid w:val="00056179"/>
    <w:rsid w:val="00057133"/>
    <w:rsid w:val="00065B99"/>
    <w:rsid w:val="00065F9C"/>
    <w:rsid w:val="00070AED"/>
    <w:rsid w:val="0007162A"/>
    <w:rsid w:val="00072FCA"/>
    <w:rsid w:val="00074290"/>
    <w:rsid w:val="0007565C"/>
    <w:rsid w:val="00076D55"/>
    <w:rsid w:val="0007765D"/>
    <w:rsid w:val="0008501D"/>
    <w:rsid w:val="0008540A"/>
    <w:rsid w:val="000A2D4F"/>
    <w:rsid w:val="000A396D"/>
    <w:rsid w:val="000A622D"/>
    <w:rsid w:val="000A7411"/>
    <w:rsid w:val="000A7AEB"/>
    <w:rsid w:val="000B21C5"/>
    <w:rsid w:val="000B25B1"/>
    <w:rsid w:val="000B29BE"/>
    <w:rsid w:val="000B4476"/>
    <w:rsid w:val="000B44A1"/>
    <w:rsid w:val="000B6328"/>
    <w:rsid w:val="000B63B0"/>
    <w:rsid w:val="000C01A7"/>
    <w:rsid w:val="000C08B6"/>
    <w:rsid w:val="000C0CB9"/>
    <w:rsid w:val="000C0E83"/>
    <w:rsid w:val="000C1B5D"/>
    <w:rsid w:val="000C2BDF"/>
    <w:rsid w:val="000C743A"/>
    <w:rsid w:val="000D470B"/>
    <w:rsid w:val="000D5C6E"/>
    <w:rsid w:val="000D659F"/>
    <w:rsid w:val="000D71CE"/>
    <w:rsid w:val="000E0C28"/>
    <w:rsid w:val="000E146A"/>
    <w:rsid w:val="000E27BC"/>
    <w:rsid w:val="000E4739"/>
    <w:rsid w:val="000F5029"/>
    <w:rsid w:val="00104807"/>
    <w:rsid w:val="0010695E"/>
    <w:rsid w:val="001070E5"/>
    <w:rsid w:val="00110DE1"/>
    <w:rsid w:val="001148E8"/>
    <w:rsid w:val="00125F6B"/>
    <w:rsid w:val="00126B2C"/>
    <w:rsid w:val="00126F9A"/>
    <w:rsid w:val="001341F5"/>
    <w:rsid w:val="00134DC6"/>
    <w:rsid w:val="00140A4B"/>
    <w:rsid w:val="00145C4D"/>
    <w:rsid w:val="00150032"/>
    <w:rsid w:val="00150A0F"/>
    <w:rsid w:val="0015321A"/>
    <w:rsid w:val="001557A6"/>
    <w:rsid w:val="00156DA7"/>
    <w:rsid w:val="0015783F"/>
    <w:rsid w:val="00165E75"/>
    <w:rsid w:val="00171840"/>
    <w:rsid w:val="00171A3E"/>
    <w:rsid w:val="00174304"/>
    <w:rsid w:val="00174C32"/>
    <w:rsid w:val="0017528D"/>
    <w:rsid w:val="00182578"/>
    <w:rsid w:val="00183F7E"/>
    <w:rsid w:val="001856B5"/>
    <w:rsid w:val="00185BF8"/>
    <w:rsid w:val="00193068"/>
    <w:rsid w:val="00195689"/>
    <w:rsid w:val="001A033F"/>
    <w:rsid w:val="001A16B2"/>
    <w:rsid w:val="001A1C71"/>
    <w:rsid w:val="001B0643"/>
    <w:rsid w:val="001B196A"/>
    <w:rsid w:val="001B321F"/>
    <w:rsid w:val="001C4D42"/>
    <w:rsid w:val="001D145C"/>
    <w:rsid w:val="001D2559"/>
    <w:rsid w:val="001D406E"/>
    <w:rsid w:val="001D469A"/>
    <w:rsid w:val="001D6473"/>
    <w:rsid w:val="001D64D0"/>
    <w:rsid w:val="001E1C72"/>
    <w:rsid w:val="001E4FBA"/>
    <w:rsid w:val="001E681A"/>
    <w:rsid w:val="001F0C21"/>
    <w:rsid w:val="001F1B2A"/>
    <w:rsid w:val="001F4A14"/>
    <w:rsid w:val="001F786C"/>
    <w:rsid w:val="00212B6F"/>
    <w:rsid w:val="00212D95"/>
    <w:rsid w:val="00213CF8"/>
    <w:rsid w:val="00215F9E"/>
    <w:rsid w:val="002209F7"/>
    <w:rsid w:val="00224816"/>
    <w:rsid w:val="00227337"/>
    <w:rsid w:val="00233678"/>
    <w:rsid w:val="002338EC"/>
    <w:rsid w:val="00236190"/>
    <w:rsid w:val="0024085C"/>
    <w:rsid w:val="00246164"/>
    <w:rsid w:val="0024643F"/>
    <w:rsid w:val="0024733C"/>
    <w:rsid w:val="002511D5"/>
    <w:rsid w:val="00251B52"/>
    <w:rsid w:val="00251BF1"/>
    <w:rsid w:val="0025325F"/>
    <w:rsid w:val="00253DFE"/>
    <w:rsid w:val="00253FD1"/>
    <w:rsid w:val="00254A61"/>
    <w:rsid w:val="002620E3"/>
    <w:rsid w:val="00283CA9"/>
    <w:rsid w:val="00284A21"/>
    <w:rsid w:val="002874B6"/>
    <w:rsid w:val="00294F3E"/>
    <w:rsid w:val="002A12E3"/>
    <w:rsid w:val="002A3C85"/>
    <w:rsid w:val="002A7807"/>
    <w:rsid w:val="002B3583"/>
    <w:rsid w:val="002B3C18"/>
    <w:rsid w:val="002B6682"/>
    <w:rsid w:val="002C2CB9"/>
    <w:rsid w:val="002D0876"/>
    <w:rsid w:val="002D0F3D"/>
    <w:rsid w:val="002D352D"/>
    <w:rsid w:val="002D7055"/>
    <w:rsid w:val="002E18BF"/>
    <w:rsid w:val="002F06D9"/>
    <w:rsid w:val="002F18B2"/>
    <w:rsid w:val="002F52E5"/>
    <w:rsid w:val="002F7E8A"/>
    <w:rsid w:val="00303FFA"/>
    <w:rsid w:val="003133CE"/>
    <w:rsid w:val="00313A17"/>
    <w:rsid w:val="00313B7F"/>
    <w:rsid w:val="00314697"/>
    <w:rsid w:val="0032183C"/>
    <w:rsid w:val="00325771"/>
    <w:rsid w:val="0033554D"/>
    <w:rsid w:val="00336B92"/>
    <w:rsid w:val="00340A66"/>
    <w:rsid w:val="003429B3"/>
    <w:rsid w:val="003444E1"/>
    <w:rsid w:val="0034458E"/>
    <w:rsid w:val="00346738"/>
    <w:rsid w:val="00353B31"/>
    <w:rsid w:val="00354444"/>
    <w:rsid w:val="0036020E"/>
    <w:rsid w:val="0036232C"/>
    <w:rsid w:val="00363197"/>
    <w:rsid w:val="0037333D"/>
    <w:rsid w:val="00374BE4"/>
    <w:rsid w:val="0037652C"/>
    <w:rsid w:val="003777A1"/>
    <w:rsid w:val="003866A1"/>
    <w:rsid w:val="00387A68"/>
    <w:rsid w:val="00387BF1"/>
    <w:rsid w:val="00392543"/>
    <w:rsid w:val="00395CCB"/>
    <w:rsid w:val="003974B4"/>
    <w:rsid w:val="003A443A"/>
    <w:rsid w:val="003A73F1"/>
    <w:rsid w:val="003B1BE0"/>
    <w:rsid w:val="003B35F2"/>
    <w:rsid w:val="003B5D5E"/>
    <w:rsid w:val="003C1054"/>
    <w:rsid w:val="003C5113"/>
    <w:rsid w:val="003C54DE"/>
    <w:rsid w:val="003D0853"/>
    <w:rsid w:val="003D47FF"/>
    <w:rsid w:val="003D484D"/>
    <w:rsid w:val="003D5828"/>
    <w:rsid w:val="003E60DE"/>
    <w:rsid w:val="003F0DD5"/>
    <w:rsid w:val="003F6B6D"/>
    <w:rsid w:val="003F7B02"/>
    <w:rsid w:val="003F7CD4"/>
    <w:rsid w:val="004016EC"/>
    <w:rsid w:val="004200D7"/>
    <w:rsid w:val="00420393"/>
    <w:rsid w:val="004278AD"/>
    <w:rsid w:val="00427EFD"/>
    <w:rsid w:val="00442786"/>
    <w:rsid w:val="0044507B"/>
    <w:rsid w:val="00452112"/>
    <w:rsid w:val="00454EFA"/>
    <w:rsid w:val="00460787"/>
    <w:rsid w:val="0046147C"/>
    <w:rsid w:val="004616DA"/>
    <w:rsid w:val="00466AC7"/>
    <w:rsid w:val="00472479"/>
    <w:rsid w:val="004761BB"/>
    <w:rsid w:val="00480877"/>
    <w:rsid w:val="00481BE8"/>
    <w:rsid w:val="0048505B"/>
    <w:rsid w:val="00487F9C"/>
    <w:rsid w:val="00490679"/>
    <w:rsid w:val="00493681"/>
    <w:rsid w:val="004A0D01"/>
    <w:rsid w:val="004A45E5"/>
    <w:rsid w:val="004A6E23"/>
    <w:rsid w:val="004A7C8C"/>
    <w:rsid w:val="004B17E0"/>
    <w:rsid w:val="004B677A"/>
    <w:rsid w:val="004C0B07"/>
    <w:rsid w:val="004C2A2D"/>
    <w:rsid w:val="004C4F9D"/>
    <w:rsid w:val="004C6491"/>
    <w:rsid w:val="004C7D5A"/>
    <w:rsid w:val="004D39E8"/>
    <w:rsid w:val="004D3BF3"/>
    <w:rsid w:val="004D49D1"/>
    <w:rsid w:val="004F00D3"/>
    <w:rsid w:val="005078F7"/>
    <w:rsid w:val="005111D8"/>
    <w:rsid w:val="00514744"/>
    <w:rsid w:val="00526EBB"/>
    <w:rsid w:val="0052750E"/>
    <w:rsid w:val="005316C8"/>
    <w:rsid w:val="00537F5A"/>
    <w:rsid w:val="00545D3A"/>
    <w:rsid w:val="00552191"/>
    <w:rsid w:val="0056083F"/>
    <w:rsid w:val="0057587E"/>
    <w:rsid w:val="0058086E"/>
    <w:rsid w:val="00582349"/>
    <w:rsid w:val="00582F2E"/>
    <w:rsid w:val="00583E49"/>
    <w:rsid w:val="0058642C"/>
    <w:rsid w:val="00590BA0"/>
    <w:rsid w:val="00592555"/>
    <w:rsid w:val="00596EBC"/>
    <w:rsid w:val="0059743E"/>
    <w:rsid w:val="005A10D4"/>
    <w:rsid w:val="005A7228"/>
    <w:rsid w:val="005C0812"/>
    <w:rsid w:val="005C0C4A"/>
    <w:rsid w:val="005C2F0F"/>
    <w:rsid w:val="005C5696"/>
    <w:rsid w:val="005C60A6"/>
    <w:rsid w:val="005C7E59"/>
    <w:rsid w:val="005D4D03"/>
    <w:rsid w:val="005D71FC"/>
    <w:rsid w:val="005D73CA"/>
    <w:rsid w:val="005E6578"/>
    <w:rsid w:val="005E6716"/>
    <w:rsid w:val="0060213D"/>
    <w:rsid w:val="0060721F"/>
    <w:rsid w:val="00607ED4"/>
    <w:rsid w:val="006157AE"/>
    <w:rsid w:val="0062174A"/>
    <w:rsid w:val="00622EDE"/>
    <w:rsid w:val="006232E5"/>
    <w:rsid w:val="006249D3"/>
    <w:rsid w:val="00627DF2"/>
    <w:rsid w:val="0063766E"/>
    <w:rsid w:val="00640874"/>
    <w:rsid w:val="0064290F"/>
    <w:rsid w:val="0064418A"/>
    <w:rsid w:val="00644723"/>
    <w:rsid w:val="006470E5"/>
    <w:rsid w:val="00657E85"/>
    <w:rsid w:val="00662A81"/>
    <w:rsid w:val="0066353F"/>
    <w:rsid w:val="00670A17"/>
    <w:rsid w:val="00673C2D"/>
    <w:rsid w:val="0067729F"/>
    <w:rsid w:val="006812B2"/>
    <w:rsid w:val="0068362B"/>
    <w:rsid w:val="0068464B"/>
    <w:rsid w:val="006A0B1B"/>
    <w:rsid w:val="006A1003"/>
    <w:rsid w:val="006A2F73"/>
    <w:rsid w:val="006B089C"/>
    <w:rsid w:val="006C3C5A"/>
    <w:rsid w:val="006D03DA"/>
    <w:rsid w:val="006D076E"/>
    <w:rsid w:val="006D3991"/>
    <w:rsid w:val="006E21D8"/>
    <w:rsid w:val="006E2920"/>
    <w:rsid w:val="006F1A40"/>
    <w:rsid w:val="006F44D4"/>
    <w:rsid w:val="006F4843"/>
    <w:rsid w:val="006F6577"/>
    <w:rsid w:val="006F7B94"/>
    <w:rsid w:val="006F7D00"/>
    <w:rsid w:val="00700235"/>
    <w:rsid w:val="00702ABD"/>
    <w:rsid w:val="0070322E"/>
    <w:rsid w:val="00704253"/>
    <w:rsid w:val="00711B6A"/>
    <w:rsid w:val="00733219"/>
    <w:rsid w:val="00735EE7"/>
    <w:rsid w:val="00736597"/>
    <w:rsid w:val="00737915"/>
    <w:rsid w:val="00744380"/>
    <w:rsid w:val="00745D9C"/>
    <w:rsid w:val="00746A5C"/>
    <w:rsid w:val="0075073F"/>
    <w:rsid w:val="007508B4"/>
    <w:rsid w:val="00750C95"/>
    <w:rsid w:val="0075321F"/>
    <w:rsid w:val="007533E8"/>
    <w:rsid w:val="00753CB3"/>
    <w:rsid w:val="00755864"/>
    <w:rsid w:val="0076436E"/>
    <w:rsid w:val="00764486"/>
    <w:rsid w:val="0077201F"/>
    <w:rsid w:val="0077598D"/>
    <w:rsid w:val="00777AE4"/>
    <w:rsid w:val="00780F8F"/>
    <w:rsid w:val="00782F94"/>
    <w:rsid w:val="007918E1"/>
    <w:rsid w:val="00792EBD"/>
    <w:rsid w:val="007A6054"/>
    <w:rsid w:val="007A7E53"/>
    <w:rsid w:val="007B5839"/>
    <w:rsid w:val="007C29D2"/>
    <w:rsid w:val="007C5EA1"/>
    <w:rsid w:val="007D3F41"/>
    <w:rsid w:val="007D4E4A"/>
    <w:rsid w:val="007D6E2F"/>
    <w:rsid w:val="007E70B5"/>
    <w:rsid w:val="007F38A1"/>
    <w:rsid w:val="007F4398"/>
    <w:rsid w:val="007F5138"/>
    <w:rsid w:val="007F51CD"/>
    <w:rsid w:val="00803F7F"/>
    <w:rsid w:val="00805DAA"/>
    <w:rsid w:val="00820A6F"/>
    <w:rsid w:val="00820DA2"/>
    <w:rsid w:val="0082710F"/>
    <w:rsid w:val="008271C7"/>
    <w:rsid w:val="008328ED"/>
    <w:rsid w:val="00843FE8"/>
    <w:rsid w:val="008479DF"/>
    <w:rsid w:val="00850D62"/>
    <w:rsid w:val="00852F2A"/>
    <w:rsid w:val="008531FC"/>
    <w:rsid w:val="00853CC5"/>
    <w:rsid w:val="00863203"/>
    <w:rsid w:val="00874486"/>
    <w:rsid w:val="00877EA4"/>
    <w:rsid w:val="008811D5"/>
    <w:rsid w:val="00881459"/>
    <w:rsid w:val="00884B40"/>
    <w:rsid w:val="00884F06"/>
    <w:rsid w:val="00885A52"/>
    <w:rsid w:val="008A0C2E"/>
    <w:rsid w:val="008A1211"/>
    <w:rsid w:val="008A34A9"/>
    <w:rsid w:val="008A43AF"/>
    <w:rsid w:val="008A5839"/>
    <w:rsid w:val="008B4C9C"/>
    <w:rsid w:val="008B5AD9"/>
    <w:rsid w:val="008C7AC7"/>
    <w:rsid w:val="008D771C"/>
    <w:rsid w:val="008E2F02"/>
    <w:rsid w:val="008E7D39"/>
    <w:rsid w:val="008F1503"/>
    <w:rsid w:val="008F2489"/>
    <w:rsid w:val="008F52EC"/>
    <w:rsid w:val="008F76A0"/>
    <w:rsid w:val="009051BC"/>
    <w:rsid w:val="009119CF"/>
    <w:rsid w:val="00916298"/>
    <w:rsid w:val="009165AA"/>
    <w:rsid w:val="0092156E"/>
    <w:rsid w:val="00921A5E"/>
    <w:rsid w:val="00926314"/>
    <w:rsid w:val="0092702C"/>
    <w:rsid w:val="009343BF"/>
    <w:rsid w:val="00942DDE"/>
    <w:rsid w:val="00942E68"/>
    <w:rsid w:val="00943974"/>
    <w:rsid w:val="00943A73"/>
    <w:rsid w:val="00947966"/>
    <w:rsid w:val="00947B86"/>
    <w:rsid w:val="009505C9"/>
    <w:rsid w:val="00952A3D"/>
    <w:rsid w:val="00954813"/>
    <w:rsid w:val="00972C40"/>
    <w:rsid w:val="00973AAD"/>
    <w:rsid w:val="00977B10"/>
    <w:rsid w:val="00981F9F"/>
    <w:rsid w:val="0098393C"/>
    <w:rsid w:val="009921C1"/>
    <w:rsid w:val="00992F8B"/>
    <w:rsid w:val="00997C9F"/>
    <w:rsid w:val="009A07DF"/>
    <w:rsid w:val="009A265D"/>
    <w:rsid w:val="009A4F8C"/>
    <w:rsid w:val="009B32E7"/>
    <w:rsid w:val="009B3866"/>
    <w:rsid w:val="009B3BA1"/>
    <w:rsid w:val="009B5887"/>
    <w:rsid w:val="009B5CA2"/>
    <w:rsid w:val="009C012D"/>
    <w:rsid w:val="009C11E3"/>
    <w:rsid w:val="009C4256"/>
    <w:rsid w:val="009D374F"/>
    <w:rsid w:val="009E4095"/>
    <w:rsid w:val="009E7BC3"/>
    <w:rsid w:val="009F2331"/>
    <w:rsid w:val="009F2DE3"/>
    <w:rsid w:val="009F7DF6"/>
    <w:rsid w:val="009F7E08"/>
    <w:rsid w:val="00A04D4E"/>
    <w:rsid w:val="00A063DB"/>
    <w:rsid w:val="00A064F5"/>
    <w:rsid w:val="00A065EE"/>
    <w:rsid w:val="00A10FAA"/>
    <w:rsid w:val="00A12284"/>
    <w:rsid w:val="00A12F72"/>
    <w:rsid w:val="00A13499"/>
    <w:rsid w:val="00A1764A"/>
    <w:rsid w:val="00A204EA"/>
    <w:rsid w:val="00A21508"/>
    <w:rsid w:val="00A217F4"/>
    <w:rsid w:val="00A222D5"/>
    <w:rsid w:val="00A31385"/>
    <w:rsid w:val="00A32C7E"/>
    <w:rsid w:val="00A35025"/>
    <w:rsid w:val="00A37C7F"/>
    <w:rsid w:val="00A4071E"/>
    <w:rsid w:val="00A441FE"/>
    <w:rsid w:val="00A47038"/>
    <w:rsid w:val="00A526A4"/>
    <w:rsid w:val="00A53442"/>
    <w:rsid w:val="00A55A12"/>
    <w:rsid w:val="00A5669F"/>
    <w:rsid w:val="00A60C49"/>
    <w:rsid w:val="00A8536E"/>
    <w:rsid w:val="00A9220D"/>
    <w:rsid w:val="00AA1ACE"/>
    <w:rsid w:val="00AA2BFE"/>
    <w:rsid w:val="00AA38D6"/>
    <w:rsid w:val="00AA5A87"/>
    <w:rsid w:val="00AB1E39"/>
    <w:rsid w:val="00AB2ACE"/>
    <w:rsid w:val="00AC2092"/>
    <w:rsid w:val="00AC5B89"/>
    <w:rsid w:val="00AC6F3D"/>
    <w:rsid w:val="00AD74D7"/>
    <w:rsid w:val="00AE62AE"/>
    <w:rsid w:val="00AE6D31"/>
    <w:rsid w:val="00AF051F"/>
    <w:rsid w:val="00B01964"/>
    <w:rsid w:val="00B02B18"/>
    <w:rsid w:val="00B074F5"/>
    <w:rsid w:val="00B07DAD"/>
    <w:rsid w:val="00B114FD"/>
    <w:rsid w:val="00B12ED8"/>
    <w:rsid w:val="00B144AC"/>
    <w:rsid w:val="00B14E21"/>
    <w:rsid w:val="00B14E42"/>
    <w:rsid w:val="00B14E96"/>
    <w:rsid w:val="00B1561D"/>
    <w:rsid w:val="00B211A4"/>
    <w:rsid w:val="00B30BB9"/>
    <w:rsid w:val="00B3378B"/>
    <w:rsid w:val="00B3419D"/>
    <w:rsid w:val="00B35C17"/>
    <w:rsid w:val="00B412FB"/>
    <w:rsid w:val="00B47105"/>
    <w:rsid w:val="00B54161"/>
    <w:rsid w:val="00B60127"/>
    <w:rsid w:val="00B64D6D"/>
    <w:rsid w:val="00B6647B"/>
    <w:rsid w:val="00B6728B"/>
    <w:rsid w:val="00B67566"/>
    <w:rsid w:val="00B71B25"/>
    <w:rsid w:val="00B7393F"/>
    <w:rsid w:val="00B759E8"/>
    <w:rsid w:val="00B826E3"/>
    <w:rsid w:val="00B8795B"/>
    <w:rsid w:val="00B94657"/>
    <w:rsid w:val="00B9709C"/>
    <w:rsid w:val="00BA32D6"/>
    <w:rsid w:val="00BA6AB1"/>
    <w:rsid w:val="00BB066B"/>
    <w:rsid w:val="00BB2886"/>
    <w:rsid w:val="00BB5DCE"/>
    <w:rsid w:val="00BC1378"/>
    <w:rsid w:val="00BC4C25"/>
    <w:rsid w:val="00BC704A"/>
    <w:rsid w:val="00BC7DFB"/>
    <w:rsid w:val="00BD02A4"/>
    <w:rsid w:val="00BD100A"/>
    <w:rsid w:val="00BD7740"/>
    <w:rsid w:val="00BE15EA"/>
    <w:rsid w:val="00BE66C1"/>
    <w:rsid w:val="00BF2D90"/>
    <w:rsid w:val="00BF3812"/>
    <w:rsid w:val="00BF3B1E"/>
    <w:rsid w:val="00C01FBE"/>
    <w:rsid w:val="00C02196"/>
    <w:rsid w:val="00C055D5"/>
    <w:rsid w:val="00C07543"/>
    <w:rsid w:val="00C07686"/>
    <w:rsid w:val="00C07B95"/>
    <w:rsid w:val="00C07DA9"/>
    <w:rsid w:val="00C10944"/>
    <w:rsid w:val="00C11103"/>
    <w:rsid w:val="00C14C24"/>
    <w:rsid w:val="00C26CDF"/>
    <w:rsid w:val="00C26E07"/>
    <w:rsid w:val="00C336D4"/>
    <w:rsid w:val="00C408AE"/>
    <w:rsid w:val="00C423CE"/>
    <w:rsid w:val="00C44E40"/>
    <w:rsid w:val="00C45347"/>
    <w:rsid w:val="00C473EA"/>
    <w:rsid w:val="00C53291"/>
    <w:rsid w:val="00C53459"/>
    <w:rsid w:val="00C53DE9"/>
    <w:rsid w:val="00C55219"/>
    <w:rsid w:val="00C62EE9"/>
    <w:rsid w:val="00C755CB"/>
    <w:rsid w:val="00C75B27"/>
    <w:rsid w:val="00C7759B"/>
    <w:rsid w:val="00C8243B"/>
    <w:rsid w:val="00C8670F"/>
    <w:rsid w:val="00C86A12"/>
    <w:rsid w:val="00C91DCC"/>
    <w:rsid w:val="00C94BF6"/>
    <w:rsid w:val="00C973ED"/>
    <w:rsid w:val="00CA4375"/>
    <w:rsid w:val="00CB3B29"/>
    <w:rsid w:val="00CB42B9"/>
    <w:rsid w:val="00CC0B51"/>
    <w:rsid w:val="00CC5159"/>
    <w:rsid w:val="00CD1148"/>
    <w:rsid w:val="00CD4229"/>
    <w:rsid w:val="00CD7F0A"/>
    <w:rsid w:val="00CE03B7"/>
    <w:rsid w:val="00CE5ABA"/>
    <w:rsid w:val="00CE63A9"/>
    <w:rsid w:val="00CE63B6"/>
    <w:rsid w:val="00CE6BCF"/>
    <w:rsid w:val="00CE72FB"/>
    <w:rsid w:val="00CF2A58"/>
    <w:rsid w:val="00CF4FB9"/>
    <w:rsid w:val="00D04171"/>
    <w:rsid w:val="00D05321"/>
    <w:rsid w:val="00D129F7"/>
    <w:rsid w:val="00D13B08"/>
    <w:rsid w:val="00D13BA5"/>
    <w:rsid w:val="00D15563"/>
    <w:rsid w:val="00D20B8B"/>
    <w:rsid w:val="00D30BA0"/>
    <w:rsid w:val="00D4051C"/>
    <w:rsid w:val="00D413EF"/>
    <w:rsid w:val="00D416A3"/>
    <w:rsid w:val="00D47CC1"/>
    <w:rsid w:val="00D53AF9"/>
    <w:rsid w:val="00D55AAF"/>
    <w:rsid w:val="00D63309"/>
    <w:rsid w:val="00D64326"/>
    <w:rsid w:val="00D643A0"/>
    <w:rsid w:val="00D71348"/>
    <w:rsid w:val="00D7171C"/>
    <w:rsid w:val="00D737DA"/>
    <w:rsid w:val="00D9230D"/>
    <w:rsid w:val="00D9308A"/>
    <w:rsid w:val="00D9568F"/>
    <w:rsid w:val="00DA0AC2"/>
    <w:rsid w:val="00DA2617"/>
    <w:rsid w:val="00DA357F"/>
    <w:rsid w:val="00DA49EF"/>
    <w:rsid w:val="00DB18C9"/>
    <w:rsid w:val="00DB3A8C"/>
    <w:rsid w:val="00DB4194"/>
    <w:rsid w:val="00DB7CDE"/>
    <w:rsid w:val="00DC0C7E"/>
    <w:rsid w:val="00DC2AA7"/>
    <w:rsid w:val="00DC5B67"/>
    <w:rsid w:val="00DC7022"/>
    <w:rsid w:val="00DD2031"/>
    <w:rsid w:val="00DD6B93"/>
    <w:rsid w:val="00DE42DC"/>
    <w:rsid w:val="00DE45D2"/>
    <w:rsid w:val="00DF4FAF"/>
    <w:rsid w:val="00DF6CF5"/>
    <w:rsid w:val="00DF70A4"/>
    <w:rsid w:val="00E046DB"/>
    <w:rsid w:val="00E107E8"/>
    <w:rsid w:val="00E141CB"/>
    <w:rsid w:val="00E21303"/>
    <w:rsid w:val="00E21387"/>
    <w:rsid w:val="00E3149D"/>
    <w:rsid w:val="00E31DA8"/>
    <w:rsid w:val="00E32D37"/>
    <w:rsid w:val="00E33CB0"/>
    <w:rsid w:val="00E42931"/>
    <w:rsid w:val="00E450D6"/>
    <w:rsid w:val="00E454AD"/>
    <w:rsid w:val="00E45537"/>
    <w:rsid w:val="00E46A21"/>
    <w:rsid w:val="00E47505"/>
    <w:rsid w:val="00E478E1"/>
    <w:rsid w:val="00E522C1"/>
    <w:rsid w:val="00E52BE5"/>
    <w:rsid w:val="00E54BA5"/>
    <w:rsid w:val="00E632BF"/>
    <w:rsid w:val="00E67922"/>
    <w:rsid w:val="00E80491"/>
    <w:rsid w:val="00E82485"/>
    <w:rsid w:val="00E82D01"/>
    <w:rsid w:val="00E845DE"/>
    <w:rsid w:val="00E84904"/>
    <w:rsid w:val="00E85671"/>
    <w:rsid w:val="00E85A5D"/>
    <w:rsid w:val="00E9377B"/>
    <w:rsid w:val="00EA0EF3"/>
    <w:rsid w:val="00EA0F6C"/>
    <w:rsid w:val="00EA27C2"/>
    <w:rsid w:val="00EA2E2F"/>
    <w:rsid w:val="00EA42F6"/>
    <w:rsid w:val="00EA61CF"/>
    <w:rsid w:val="00EA72FE"/>
    <w:rsid w:val="00EA7D0F"/>
    <w:rsid w:val="00EB2CA1"/>
    <w:rsid w:val="00EB41E3"/>
    <w:rsid w:val="00EB541C"/>
    <w:rsid w:val="00EC1B96"/>
    <w:rsid w:val="00EC5564"/>
    <w:rsid w:val="00ED30A7"/>
    <w:rsid w:val="00ED4106"/>
    <w:rsid w:val="00EE60FC"/>
    <w:rsid w:val="00EE6D93"/>
    <w:rsid w:val="00EF212C"/>
    <w:rsid w:val="00EF4809"/>
    <w:rsid w:val="00EF6210"/>
    <w:rsid w:val="00F013BD"/>
    <w:rsid w:val="00F01D0F"/>
    <w:rsid w:val="00F035F9"/>
    <w:rsid w:val="00F05B72"/>
    <w:rsid w:val="00F1277C"/>
    <w:rsid w:val="00F12FFD"/>
    <w:rsid w:val="00F217B6"/>
    <w:rsid w:val="00F24D28"/>
    <w:rsid w:val="00F26E6D"/>
    <w:rsid w:val="00F30CBE"/>
    <w:rsid w:val="00F47F09"/>
    <w:rsid w:val="00F54B4E"/>
    <w:rsid w:val="00F55C5D"/>
    <w:rsid w:val="00F67D9B"/>
    <w:rsid w:val="00F7356C"/>
    <w:rsid w:val="00F76626"/>
    <w:rsid w:val="00F80B64"/>
    <w:rsid w:val="00F87D6E"/>
    <w:rsid w:val="00F87DB2"/>
    <w:rsid w:val="00F903F1"/>
    <w:rsid w:val="00F91CE9"/>
    <w:rsid w:val="00F93D62"/>
    <w:rsid w:val="00F95F30"/>
    <w:rsid w:val="00F97EA7"/>
    <w:rsid w:val="00FA0763"/>
    <w:rsid w:val="00FA0C5E"/>
    <w:rsid w:val="00FA267C"/>
    <w:rsid w:val="00FB0C82"/>
    <w:rsid w:val="00FB522F"/>
    <w:rsid w:val="00FB571A"/>
    <w:rsid w:val="00FC1A04"/>
    <w:rsid w:val="00FC1D1B"/>
    <w:rsid w:val="00FC3086"/>
    <w:rsid w:val="00FC39FC"/>
    <w:rsid w:val="00FC64F6"/>
    <w:rsid w:val="00FC77D0"/>
    <w:rsid w:val="00FD623A"/>
    <w:rsid w:val="00FD6D06"/>
    <w:rsid w:val="00FF250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3601" strokecolor="#54628d">
      <v:stroke color="#54628d" weight="1.5pt"/>
      <o:colormru v:ext="edit" colors="#e2aa1e"/>
    </o:shapedefaults>
    <o:shapelayout v:ext="edit">
      <o:idmap v:ext="edit" data="1"/>
    </o:shapelayout>
  </w:shapeDefaults>
  <w:decimalSymbol w:val=","/>
  <w:listSeparator w:val=";"/>
  <w15:docId w15:val="{0F2F46A5-D3B1-4D20-A260-8513E82F3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107E8"/>
    <w:rPr>
      <w:rFonts w:ascii="Times New Roman" w:eastAsia="Times New Roman" w:hAnsi="Times New Roman"/>
      <w:sz w:val="24"/>
      <w:szCs w:val="24"/>
      <w:lang w:eastAsia="en-US"/>
    </w:rPr>
  </w:style>
  <w:style w:type="paragraph" w:styleId="Nagwek1">
    <w:name w:val="heading 1"/>
    <w:basedOn w:val="Normalny"/>
    <w:next w:val="Normalny"/>
    <w:qFormat/>
    <w:rsid w:val="00E107E8"/>
    <w:pPr>
      <w:keepNext/>
      <w:ind w:left="90"/>
      <w:jc w:val="both"/>
      <w:outlineLvl w:val="0"/>
    </w:pPr>
    <w:rPr>
      <w:b/>
      <w:bCs/>
      <w:lang w:eastAsia="pl-PL"/>
    </w:rPr>
  </w:style>
  <w:style w:type="paragraph" w:styleId="Nagwek2">
    <w:name w:val="heading 2"/>
    <w:basedOn w:val="Normalny"/>
    <w:next w:val="Normalny"/>
    <w:qFormat/>
    <w:rsid w:val="00E107E8"/>
    <w:pPr>
      <w:keepNext/>
      <w:jc w:val="center"/>
      <w:outlineLvl w:val="1"/>
    </w:pPr>
    <w:rPr>
      <w:rFonts w:ascii="Lucida Sans Unicode" w:hAnsi="Lucida Sans Unicode" w:cs="Lucida Sans Unicode"/>
      <w:b/>
      <w:sz w:val="20"/>
      <w:szCs w:val="20"/>
      <w:lang w:val="en-US" w:eastAsia="pl-PL"/>
    </w:rPr>
  </w:style>
  <w:style w:type="paragraph" w:styleId="Nagwek3">
    <w:name w:val="heading 3"/>
    <w:basedOn w:val="Normalny"/>
    <w:next w:val="Normalny"/>
    <w:qFormat/>
    <w:rsid w:val="00E107E8"/>
    <w:pPr>
      <w:keepNext/>
      <w:spacing w:before="480" w:after="240"/>
      <w:jc w:val="center"/>
      <w:outlineLvl w:val="2"/>
    </w:pPr>
    <w:rPr>
      <w:rFonts w:ascii="Calibri" w:hAnsi="Calibri" w:cs="Arial"/>
      <w:color w:val="000080"/>
      <w:sz w:val="32"/>
      <w:szCs w:val="32"/>
    </w:rPr>
  </w:style>
  <w:style w:type="paragraph" w:styleId="Nagwek4">
    <w:name w:val="heading 4"/>
    <w:basedOn w:val="Normalny"/>
    <w:next w:val="Normalny"/>
    <w:qFormat/>
    <w:rsid w:val="00E107E8"/>
    <w:pPr>
      <w:keepNext/>
      <w:outlineLvl w:val="3"/>
    </w:pPr>
    <w:rPr>
      <w:rFonts w:ascii="Arial" w:hAnsi="Arial" w:cs="Arial"/>
      <w:b/>
      <w:bCs/>
      <w:sz w:val="22"/>
      <w:szCs w:val="22"/>
      <w:lang w:eastAsia="pl-PL"/>
    </w:rPr>
  </w:style>
  <w:style w:type="paragraph" w:styleId="Nagwek5">
    <w:name w:val="heading 5"/>
    <w:basedOn w:val="Normalny"/>
    <w:next w:val="Normalny"/>
    <w:qFormat/>
    <w:rsid w:val="00E107E8"/>
    <w:pPr>
      <w:keepNext/>
      <w:autoSpaceDE w:val="0"/>
      <w:autoSpaceDN w:val="0"/>
      <w:adjustRightInd w:val="0"/>
      <w:jc w:val="center"/>
      <w:outlineLvl w:val="4"/>
    </w:pPr>
    <w:rPr>
      <w:rFonts w:ascii="Arial" w:eastAsia="Arial Unicode MS" w:hAnsi="Arial" w:cs="Arial"/>
      <w:b/>
      <w:bCs/>
      <w:color w:val="54628D"/>
      <w:sz w:val="28"/>
      <w:szCs w:val="17"/>
    </w:rPr>
  </w:style>
  <w:style w:type="paragraph" w:styleId="Nagwek6">
    <w:name w:val="heading 6"/>
    <w:basedOn w:val="Normalny"/>
    <w:next w:val="Normalny"/>
    <w:qFormat/>
    <w:rsid w:val="00E107E8"/>
    <w:pPr>
      <w:keepNext/>
      <w:jc w:val="both"/>
      <w:outlineLvl w:val="5"/>
    </w:pPr>
    <w:rPr>
      <w:rFonts w:ascii="Tahoma" w:hAnsi="Tahoma" w:cs="Tahoma"/>
      <w:b/>
      <w:bCs/>
      <w:iCs/>
      <w:sz w:val="16"/>
    </w:rPr>
  </w:style>
  <w:style w:type="paragraph" w:styleId="Nagwek7">
    <w:name w:val="heading 7"/>
    <w:basedOn w:val="Normalny"/>
    <w:next w:val="Normalny"/>
    <w:qFormat/>
    <w:rsid w:val="00E107E8"/>
    <w:pPr>
      <w:keepNext/>
      <w:jc w:val="both"/>
      <w:outlineLvl w:val="6"/>
    </w:pPr>
    <w:rPr>
      <w:rFonts w:ascii="Calibri" w:hAnsi="Calibri"/>
      <w:b/>
      <w:bCs/>
      <w:sz w:val="20"/>
      <w:lang w:eastAsia="pl-PL"/>
    </w:rPr>
  </w:style>
  <w:style w:type="paragraph" w:styleId="Nagwek8">
    <w:name w:val="heading 8"/>
    <w:basedOn w:val="Normalny"/>
    <w:next w:val="Normalny"/>
    <w:qFormat/>
    <w:rsid w:val="00E107E8"/>
    <w:pPr>
      <w:keepNext/>
      <w:jc w:val="both"/>
      <w:outlineLvl w:val="7"/>
    </w:pPr>
    <w:rPr>
      <w:rFonts w:ascii="Calibri" w:hAnsi="Calibri"/>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unhideWhenUsed/>
    <w:rsid w:val="00E107E8"/>
    <w:pPr>
      <w:tabs>
        <w:tab w:val="center" w:pos="4536"/>
        <w:tab w:val="right" w:pos="9072"/>
      </w:tabs>
    </w:pPr>
    <w:rPr>
      <w:rFonts w:ascii="Calibri" w:eastAsia="Calibri" w:hAnsi="Calibri"/>
      <w:sz w:val="22"/>
      <w:szCs w:val="22"/>
    </w:rPr>
  </w:style>
  <w:style w:type="character" w:customStyle="1" w:styleId="NagwekZnak">
    <w:name w:val="Nagłówek Znak"/>
    <w:basedOn w:val="Domylnaczcionkaakapitu"/>
    <w:semiHidden/>
    <w:rsid w:val="00E107E8"/>
  </w:style>
  <w:style w:type="paragraph" w:styleId="Stopka">
    <w:name w:val="footer"/>
    <w:basedOn w:val="Normalny"/>
    <w:unhideWhenUsed/>
    <w:rsid w:val="00E107E8"/>
    <w:pPr>
      <w:tabs>
        <w:tab w:val="center" w:pos="4536"/>
        <w:tab w:val="right" w:pos="9072"/>
      </w:tabs>
    </w:pPr>
    <w:rPr>
      <w:rFonts w:ascii="Calibri" w:eastAsia="Calibri" w:hAnsi="Calibri"/>
      <w:sz w:val="22"/>
      <w:szCs w:val="22"/>
    </w:rPr>
  </w:style>
  <w:style w:type="character" w:customStyle="1" w:styleId="StopkaZnak">
    <w:name w:val="Stopka Znak"/>
    <w:basedOn w:val="Domylnaczcionkaakapitu"/>
    <w:rsid w:val="00E107E8"/>
  </w:style>
  <w:style w:type="paragraph" w:styleId="Tekstdymka">
    <w:name w:val="Balloon Text"/>
    <w:basedOn w:val="Normalny"/>
    <w:semiHidden/>
    <w:unhideWhenUsed/>
    <w:rsid w:val="00E107E8"/>
    <w:rPr>
      <w:rFonts w:ascii="Tahoma" w:eastAsia="Calibri" w:hAnsi="Tahoma" w:cs="Tahoma"/>
      <w:sz w:val="16"/>
      <w:szCs w:val="16"/>
    </w:rPr>
  </w:style>
  <w:style w:type="character" w:customStyle="1" w:styleId="TekstdymkaZnak">
    <w:name w:val="Tekst dymka Znak"/>
    <w:semiHidden/>
    <w:rsid w:val="00E107E8"/>
    <w:rPr>
      <w:rFonts w:ascii="Tahoma" w:hAnsi="Tahoma" w:cs="Tahoma"/>
      <w:sz w:val="16"/>
      <w:szCs w:val="16"/>
    </w:rPr>
  </w:style>
  <w:style w:type="character" w:customStyle="1" w:styleId="Nagwek2Znak">
    <w:name w:val="Nagłówek 2 Znak"/>
    <w:rsid w:val="00E107E8"/>
    <w:rPr>
      <w:rFonts w:ascii="Lucida Sans Unicode" w:eastAsia="Times New Roman" w:hAnsi="Lucida Sans Unicode" w:cs="Lucida Sans Unicode"/>
      <w:b/>
      <w:sz w:val="20"/>
      <w:szCs w:val="20"/>
      <w:lang w:val="en-US" w:eastAsia="pl-PL"/>
    </w:rPr>
  </w:style>
  <w:style w:type="character" w:styleId="Hipercze">
    <w:name w:val="Hyperlink"/>
    <w:uiPriority w:val="99"/>
    <w:unhideWhenUsed/>
    <w:rsid w:val="00E107E8"/>
    <w:rPr>
      <w:color w:val="0000FF"/>
      <w:u w:val="single"/>
    </w:rPr>
  </w:style>
  <w:style w:type="paragraph" w:styleId="Tekstpodstawowy">
    <w:name w:val="Body Text"/>
    <w:basedOn w:val="Normalny"/>
    <w:link w:val="TekstpodstawowyZnak"/>
    <w:semiHidden/>
    <w:rsid w:val="00E107E8"/>
    <w:pPr>
      <w:jc w:val="both"/>
    </w:pPr>
    <w:rPr>
      <w:b/>
      <w:bCs/>
      <w:szCs w:val="20"/>
    </w:rPr>
  </w:style>
  <w:style w:type="paragraph" w:styleId="Tekstpodstawowy2">
    <w:name w:val="Body Text 2"/>
    <w:basedOn w:val="Normalny"/>
    <w:semiHidden/>
    <w:rsid w:val="00E107E8"/>
    <w:pPr>
      <w:jc w:val="right"/>
    </w:pPr>
    <w:rPr>
      <w:rFonts w:ascii="Arial" w:hAnsi="Arial" w:cs="Arial"/>
      <w:sz w:val="20"/>
      <w:szCs w:val="20"/>
      <w:lang w:eastAsia="pl-PL"/>
    </w:rPr>
  </w:style>
  <w:style w:type="paragraph" w:customStyle="1" w:styleId="aboutus">
    <w:name w:val="aboutus"/>
    <w:basedOn w:val="Normalny"/>
    <w:rsid w:val="00E107E8"/>
    <w:pPr>
      <w:spacing w:before="120" w:after="120" w:line="210" w:lineRule="atLeast"/>
      <w:ind w:left="150" w:right="150"/>
      <w:jc w:val="both"/>
    </w:pPr>
    <w:rPr>
      <w:rFonts w:ascii="Arial" w:eastAsia="Arial Unicode MS" w:hAnsi="Arial" w:cs="Arial"/>
      <w:b/>
      <w:bCs/>
      <w:color w:val="333399"/>
      <w:sz w:val="17"/>
      <w:szCs w:val="17"/>
      <w:lang w:eastAsia="pl-PL"/>
    </w:rPr>
  </w:style>
  <w:style w:type="paragraph" w:styleId="Tekstpodstawowy3">
    <w:name w:val="Body Text 3"/>
    <w:basedOn w:val="Normalny"/>
    <w:semiHidden/>
    <w:rsid w:val="00E107E8"/>
    <w:pPr>
      <w:autoSpaceDE w:val="0"/>
      <w:autoSpaceDN w:val="0"/>
      <w:adjustRightInd w:val="0"/>
      <w:jc w:val="both"/>
    </w:pPr>
    <w:rPr>
      <w:rFonts w:ascii="Calibri" w:eastAsia="Arial Unicode MS" w:hAnsi="Calibri" w:cs="Arial"/>
      <w:b/>
      <w:bCs/>
      <w:color w:val="54628D"/>
      <w:sz w:val="16"/>
      <w:szCs w:val="17"/>
    </w:rPr>
  </w:style>
  <w:style w:type="character" w:styleId="Odwoaniedokomentarza">
    <w:name w:val="annotation reference"/>
    <w:semiHidden/>
    <w:rsid w:val="00E107E8"/>
    <w:rPr>
      <w:sz w:val="16"/>
      <w:szCs w:val="16"/>
    </w:rPr>
  </w:style>
  <w:style w:type="paragraph" w:styleId="Tekstkomentarza">
    <w:name w:val="annotation text"/>
    <w:basedOn w:val="Normalny"/>
    <w:semiHidden/>
    <w:rsid w:val="00E107E8"/>
    <w:rPr>
      <w:sz w:val="20"/>
      <w:szCs w:val="20"/>
    </w:rPr>
  </w:style>
  <w:style w:type="paragraph" w:styleId="Tematkomentarza">
    <w:name w:val="annotation subject"/>
    <w:basedOn w:val="Tekstkomentarza"/>
    <w:next w:val="Tekstkomentarza"/>
    <w:semiHidden/>
    <w:rsid w:val="00E107E8"/>
    <w:rPr>
      <w:b/>
      <w:bCs/>
    </w:rPr>
  </w:style>
  <w:style w:type="paragraph" w:customStyle="1" w:styleId="Default">
    <w:name w:val="Default"/>
    <w:rsid w:val="00E107E8"/>
    <w:pPr>
      <w:autoSpaceDE w:val="0"/>
      <w:autoSpaceDN w:val="0"/>
      <w:adjustRightInd w:val="0"/>
    </w:pPr>
    <w:rPr>
      <w:rFonts w:cs="Calibri"/>
      <w:color w:val="000000"/>
      <w:sz w:val="24"/>
      <w:szCs w:val="24"/>
    </w:rPr>
  </w:style>
  <w:style w:type="paragraph" w:styleId="Tytu">
    <w:name w:val="Title"/>
    <w:basedOn w:val="Normalny"/>
    <w:link w:val="TytuZnak"/>
    <w:qFormat/>
    <w:rsid w:val="006B089C"/>
    <w:pPr>
      <w:jc w:val="center"/>
    </w:pPr>
    <w:rPr>
      <w:b/>
      <w:color w:val="333399"/>
      <w:sz w:val="28"/>
      <w:szCs w:val="28"/>
    </w:rPr>
  </w:style>
  <w:style w:type="character" w:customStyle="1" w:styleId="TytuZnak">
    <w:name w:val="Tytuł Znak"/>
    <w:link w:val="Tytu"/>
    <w:rsid w:val="006B089C"/>
    <w:rPr>
      <w:rFonts w:ascii="Times New Roman" w:eastAsia="Times New Roman" w:hAnsi="Times New Roman"/>
      <w:b/>
      <w:color w:val="333399"/>
      <w:sz w:val="28"/>
      <w:szCs w:val="28"/>
    </w:rPr>
  </w:style>
  <w:style w:type="paragraph" w:styleId="Bezodstpw">
    <w:name w:val="No Spacing"/>
    <w:uiPriority w:val="1"/>
    <w:qFormat/>
    <w:rsid w:val="00EA27C2"/>
    <w:rPr>
      <w:sz w:val="22"/>
      <w:szCs w:val="22"/>
      <w:lang w:eastAsia="en-US"/>
    </w:rPr>
  </w:style>
  <w:style w:type="table" w:styleId="Tabela-Siatka">
    <w:name w:val="Table Grid"/>
    <w:basedOn w:val="Standardowy"/>
    <w:uiPriority w:val="59"/>
    <w:rsid w:val="000F502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link w:val="Tekstpodstawowy"/>
    <w:semiHidden/>
    <w:rsid w:val="000F5029"/>
    <w:rPr>
      <w:rFonts w:ascii="Times New Roman" w:eastAsia="Times New Roman" w:hAnsi="Times New Roman"/>
      <w:b/>
      <w:bCs/>
      <w:sz w:val="24"/>
    </w:rPr>
  </w:style>
  <w:style w:type="character" w:styleId="UyteHipercze">
    <w:name w:val="FollowedHyperlink"/>
    <w:uiPriority w:val="99"/>
    <w:semiHidden/>
    <w:unhideWhenUsed/>
    <w:rsid w:val="0048505B"/>
    <w:rPr>
      <w:color w:val="800080"/>
      <w:u w:val="single"/>
    </w:rPr>
  </w:style>
  <w:style w:type="paragraph" w:styleId="Akapitzlist">
    <w:name w:val="List Paragraph"/>
    <w:basedOn w:val="Normalny"/>
    <w:uiPriority w:val="34"/>
    <w:qFormat/>
    <w:rsid w:val="00CB3B29"/>
    <w:pPr>
      <w:ind w:left="720"/>
      <w:contextualSpacing/>
    </w:pPr>
  </w:style>
  <w:style w:type="paragraph" w:styleId="Tekstprzypisukocowego">
    <w:name w:val="endnote text"/>
    <w:basedOn w:val="Normalny"/>
    <w:link w:val="TekstprzypisukocowegoZnak"/>
    <w:uiPriority w:val="99"/>
    <w:semiHidden/>
    <w:unhideWhenUsed/>
    <w:rsid w:val="00F12FFD"/>
    <w:rPr>
      <w:sz w:val="20"/>
      <w:szCs w:val="20"/>
    </w:rPr>
  </w:style>
  <w:style w:type="character" w:customStyle="1" w:styleId="TekstprzypisukocowegoZnak">
    <w:name w:val="Tekst przypisu końcowego Znak"/>
    <w:basedOn w:val="Domylnaczcionkaakapitu"/>
    <w:link w:val="Tekstprzypisukocowego"/>
    <w:uiPriority w:val="99"/>
    <w:semiHidden/>
    <w:rsid w:val="00F12FFD"/>
    <w:rPr>
      <w:rFonts w:ascii="Times New Roman" w:eastAsia="Times New Roman" w:hAnsi="Times New Roman"/>
      <w:lang w:eastAsia="en-US"/>
    </w:rPr>
  </w:style>
  <w:style w:type="character" w:styleId="Odwoanieprzypisukocowego">
    <w:name w:val="endnote reference"/>
    <w:basedOn w:val="Domylnaczcionkaakapitu"/>
    <w:uiPriority w:val="99"/>
    <w:semiHidden/>
    <w:unhideWhenUsed/>
    <w:rsid w:val="00F12FFD"/>
    <w:rPr>
      <w:vertAlign w:val="superscript"/>
    </w:rPr>
  </w:style>
  <w:style w:type="table" w:customStyle="1" w:styleId="Tabela-Siatka1">
    <w:name w:val="Tabela - Siatka1"/>
    <w:basedOn w:val="Standardowy"/>
    <w:next w:val="Tabela-Siatka"/>
    <w:uiPriority w:val="59"/>
    <w:rsid w:val="008E2F0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00005A"/>
  </w:style>
  <w:style w:type="paragraph" w:styleId="Tekstprzypisudolnego">
    <w:name w:val="footnote text"/>
    <w:basedOn w:val="Normalny"/>
    <w:link w:val="TekstprzypisudolnegoZnak"/>
    <w:uiPriority w:val="99"/>
    <w:semiHidden/>
    <w:unhideWhenUsed/>
    <w:rsid w:val="00D129F7"/>
    <w:rPr>
      <w:rFonts w:ascii="Calibri" w:hAnsi="Calibri"/>
      <w:sz w:val="20"/>
      <w:szCs w:val="20"/>
      <w:lang w:eastAsia="pl-PL"/>
    </w:rPr>
  </w:style>
  <w:style w:type="character" w:customStyle="1" w:styleId="TekstprzypisudolnegoZnak">
    <w:name w:val="Tekst przypisu dolnego Znak"/>
    <w:basedOn w:val="Domylnaczcionkaakapitu"/>
    <w:link w:val="Tekstprzypisudolnego"/>
    <w:uiPriority w:val="99"/>
    <w:semiHidden/>
    <w:rsid w:val="00D129F7"/>
    <w:rPr>
      <w:rFonts w:eastAsia="Times New Roman"/>
    </w:rPr>
  </w:style>
  <w:style w:type="character" w:styleId="Odwoanieprzypisudolnego">
    <w:name w:val="footnote reference"/>
    <w:basedOn w:val="Domylnaczcionkaakapitu"/>
    <w:uiPriority w:val="99"/>
    <w:semiHidden/>
    <w:unhideWhenUsed/>
    <w:rsid w:val="00D129F7"/>
    <w:rPr>
      <w:vertAlign w:val="superscript"/>
    </w:rPr>
  </w:style>
  <w:style w:type="table" w:customStyle="1" w:styleId="Tabelasiatki4akcent21">
    <w:name w:val="Tabela siatki 4 — akcent 21"/>
    <w:basedOn w:val="Standardowy"/>
    <w:uiPriority w:val="49"/>
    <w:rsid w:val="00EA2E2F"/>
    <w:rPr>
      <w:sz w:val="22"/>
      <w:szCs w:val="22"/>
      <w:lang w:eastAsia="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Jasnasiatkaakcent11">
    <w:name w:val="Jasna siatka — akcent 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1">
    <w:name w:val="Jasna siatka — akcent 1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2">
    <w:name w:val="Jasna siatka — akcent 112"/>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Tabela-Siatka2">
    <w:name w:val="Tabela - Siatka2"/>
    <w:basedOn w:val="Standardowy"/>
    <w:next w:val="Tabela-Siatka"/>
    <w:uiPriority w:val="39"/>
    <w:rsid w:val="00E3149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DB3A8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F54B4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C53DE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Sedlak">
    <w:name w:val="TytułSedlak"/>
    <w:basedOn w:val="Normalny"/>
    <w:link w:val="TytuSedlakZnak"/>
    <w:qFormat/>
    <w:rsid w:val="00704253"/>
    <w:pPr>
      <w:spacing w:line="276" w:lineRule="auto"/>
      <w:jc w:val="center"/>
      <w:outlineLvl w:val="0"/>
    </w:pPr>
    <w:rPr>
      <w:rFonts w:asciiTheme="minorHAnsi" w:hAnsiTheme="minorHAnsi"/>
      <w:b/>
      <w:bCs/>
      <w:color w:val="002060"/>
      <w:kern w:val="36"/>
      <w:sz w:val="32"/>
      <w:szCs w:val="32"/>
      <w:lang w:eastAsia="en-AU"/>
    </w:rPr>
  </w:style>
  <w:style w:type="character" w:customStyle="1" w:styleId="TytuSedlakZnak">
    <w:name w:val="TytułSedlak Znak"/>
    <w:basedOn w:val="Domylnaczcionkaakapitu"/>
    <w:link w:val="TytuSedlak"/>
    <w:rsid w:val="00704253"/>
    <w:rPr>
      <w:rFonts w:asciiTheme="minorHAnsi" w:eastAsia="Times New Roman" w:hAnsiTheme="minorHAnsi"/>
      <w:b/>
      <w:bCs/>
      <w:color w:val="002060"/>
      <w:kern w:val="36"/>
      <w:sz w:val="32"/>
      <w:szCs w:val="32"/>
      <w:lang w:eastAsia="en-AU"/>
    </w:rPr>
  </w:style>
  <w:style w:type="paragraph" w:customStyle="1" w:styleId="tekstsedlak">
    <w:name w:val="tekstsedlak"/>
    <w:basedOn w:val="Normalny"/>
    <w:link w:val="tekstsedlakZnak"/>
    <w:qFormat/>
    <w:rsid w:val="00704253"/>
    <w:pPr>
      <w:spacing w:before="240" w:after="240" w:line="276" w:lineRule="auto"/>
      <w:jc w:val="both"/>
    </w:pPr>
    <w:rPr>
      <w:rFonts w:asciiTheme="minorHAnsi" w:eastAsiaTheme="minorEastAsia" w:hAnsiTheme="minorHAnsi" w:cs="Arial"/>
      <w:lang w:eastAsia="pl-PL"/>
    </w:rPr>
  </w:style>
  <w:style w:type="character" w:customStyle="1" w:styleId="tekstsedlakZnak">
    <w:name w:val="tekstsedlak Znak"/>
    <w:basedOn w:val="Domylnaczcionkaakapitu"/>
    <w:link w:val="tekstsedlak"/>
    <w:rsid w:val="00704253"/>
    <w:rPr>
      <w:rFonts w:asciiTheme="minorHAnsi" w:eastAsiaTheme="minorEastAsia" w:hAnsiTheme="minorHAnsi" w:cs="Arial"/>
      <w:sz w:val="24"/>
      <w:szCs w:val="24"/>
    </w:rPr>
  </w:style>
  <w:style w:type="paragraph" w:customStyle="1" w:styleId="wykressedlak">
    <w:name w:val="wykressedlak"/>
    <w:basedOn w:val="Normalny"/>
    <w:link w:val="wykressedlakZnak"/>
    <w:qFormat/>
    <w:rsid w:val="00704253"/>
    <w:pPr>
      <w:spacing w:line="276" w:lineRule="auto"/>
      <w:jc w:val="center"/>
    </w:pPr>
    <w:rPr>
      <w:rFonts w:asciiTheme="minorHAnsi" w:eastAsiaTheme="minorEastAsia" w:hAnsiTheme="minorHAnsi" w:cstheme="minorBidi"/>
      <w:b/>
      <w:color w:val="002060"/>
      <w:szCs w:val="22"/>
      <w:lang w:eastAsia="pl-PL"/>
    </w:rPr>
  </w:style>
  <w:style w:type="character" w:customStyle="1" w:styleId="wykressedlakZnak">
    <w:name w:val="wykressedlak Znak"/>
    <w:basedOn w:val="Domylnaczcionkaakapitu"/>
    <w:link w:val="wykressedlak"/>
    <w:rsid w:val="00704253"/>
    <w:rPr>
      <w:rFonts w:asciiTheme="minorHAnsi" w:eastAsiaTheme="minorEastAsia" w:hAnsiTheme="minorHAnsi" w:cstheme="minorBidi"/>
      <w:b/>
      <w:color w:val="00206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9361">
      <w:bodyDiv w:val="1"/>
      <w:marLeft w:val="0"/>
      <w:marRight w:val="0"/>
      <w:marTop w:val="0"/>
      <w:marBottom w:val="0"/>
      <w:divBdr>
        <w:top w:val="none" w:sz="0" w:space="0" w:color="auto"/>
        <w:left w:val="none" w:sz="0" w:space="0" w:color="auto"/>
        <w:bottom w:val="none" w:sz="0" w:space="0" w:color="auto"/>
        <w:right w:val="none" w:sz="0" w:space="0" w:color="auto"/>
      </w:divBdr>
      <w:divsChild>
        <w:div w:id="1814954391">
          <w:marLeft w:val="0"/>
          <w:marRight w:val="0"/>
          <w:marTop w:val="0"/>
          <w:marBottom w:val="0"/>
          <w:divBdr>
            <w:top w:val="none" w:sz="0" w:space="0" w:color="auto"/>
            <w:left w:val="none" w:sz="0" w:space="0" w:color="auto"/>
            <w:bottom w:val="none" w:sz="0" w:space="0" w:color="auto"/>
            <w:right w:val="none" w:sz="0" w:space="0" w:color="auto"/>
          </w:divBdr>
          <w:divsChild>
            <w:div w:id="773129634">
              <w:marLeft w:val="0"/>
              <w:marRight w:val="0"/>
              <w:marTop w:val="0"/>
              <w:marBottom w:val="0"/>
              <w:divBdr>
                <w:top w:val="none" w:sz="0" w:space="0" w:color="auto"/>
                <w:left w:val="none" w:sz="0" w:space="0" w:color="auto"/>
                <w:bottom w:val="none" w:sz="0" w:space="0" w:color="auto"/>
                <w:right w:val="none" w:sz="0" w:space="0" w:color="auto"/>
              </w:divBdr>
            </w:div>
            <w:div w:id="315494460">
              <w:marLeft w:val="0"/>
              <w:marRight w:val="0"/>
              <w:marTop w:val="0"/>
              <w:marBottom w:val="0"/>
              <w:divBdr>
                <w:top w:val="none" w:sz="0" w:space="0" w:color="auto"/>
                <w:left w:val="none" w:sz="0" w:space="0" w:color="auto"/>
                <w:bottom w:val="none" w:sz="0" w:space="0" w:color="auto"/>
                <w:right w:val="none" w:sz="0" w:space="0" w:color="auto"/>
              </w:divBdr>
            </w:div>
            <w:div w:id="179814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425">
      <w:bodyDiv w:val="1"/>
      <w:marLeft w:val="0"/>
      <w:marRight w:val="0"/>
      <w:marTop w:val="0"/>
      <w:marBottom w:val="0"/>
      <w:divBdr>
        <w:top w:val="none" w:sz="0" w:space="0" w:color="auto"/>
        <w:left w:val="none" w:sz="0" w:space="0" w:color="auto"/>
        <w:bottom w:val="none" w:sz="0" w:space="0" w:color="auto"/>
        <w:right w:val="none" w:sz="0" w:space="0" w:color="auto"/>
      </w:divBdr>
      <w:divsChild>
        <w:div w:id="1626882760">
          <w:marLeft w:val="0"/>
          <w:marRight w:val="0"/>
          <w:marTop w:val="0"/>
          <w:marBottom w:val="0"/>
          <w:divBdr>
            <w:top w:val="none" w:sz="0" w:space="0" w:color="auto"/>
            <w:left w:val="none" w:sz="0" w:space="0" w:color="auto"/>
            <w:bottom w:val="none" w:sz="0" w:space="0" w:color="auto"/>
            <w:right w:val="none" w:sz="0" w:space="0" w:color="auto"/>
          </w:divBdr>
          <w:divsChild>
            <w:div w:id="971642514">
              <w:marLeft w:val="0"/>
              <w:marRight w:val="0"/>
              <w:marTop w:val="0"/>
              <w:marBottom w:val="0"/>
              <w:divBdr>
                <w:top w:val="none" w:sz="0" w:space="0" w:color="auto"/>
                <w:left w:val="none" w:sz="0" w:space="0" w:color="auto"/>
                <w:bottom w:val="none" w:sz="0" w:space="0" w:color="auto"/>
                <w:right w:val="none" w:sz="0" w:space="0" w:color="auto"/>
              </w:divBdr>
            </w:div>
            <w:div w:id="204875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57979">
      <w:bodyDiv w:val="1"/>
      <w:marLeft w:val="0"/>
      <w:marRight w:val="0"/>
      <w:marTop w:val="0"/>
      <w:marBottom w:val="0"/>
      <w:divBdr>
        <w:top w:val="none" w:sz="0" w:space="0" w:color="auto"/>
        <w:left w:val="none" w:sz="0" w:space="0" w:color="auto"/>
        <w:bottom w:val="none" w:sz="0" w:space="0" w:color="auto"/>
        <w:right w:val="none" w:sz="0" w:space="0" w:color="auto"/>
      </w:divBdr>
      <w:divsChild>
        <w:div w:id="1248272785">
          <w:marLeft w:val="0"/>
          <w:marRight w:val="0"/>
          <w:marTop w:val="0"/>
          <w:marBottom w:val="0"/>
          <w:divBdr>
            <w:top w:val="none" w:sz="0" w:space="0" w:color="auto"/>
            <w:left w:val="none" w:sz="0" w:space="0" w:color="auto"/>
            <w:bottom w:val="none" w:sz="0" w:space="0" w:color="auto"/>
            <w:right w:val="none" w:sz="0" w:space="0" w:color="auto"/>
          </w:divBdr>
          <w:divsChild>
            <w:div w:id="200827627">
              <w:marLeft w:val="0"/>
              <w:marRight w:val="0"/>
              <w:marTop w:val="0"/>
              <w:marBottom w:val="0"/>
              <w:divBdr>
                <w:top w:val="none" w:sz="0" w:space="0" w:color="auto"/>
                <w:left w:val="none" w:sz="0" w:space="0" w:color="auto"/>
                <w:bottom w:val="none" w:sz="0" w:space="0" w:color="auto"/>
                <w:right w:val="none" w:sz="0" w:space="0" w:color="auto"/>
              </w:divBdr>
            </w:div>
            <w:div w:id="1727796854">
              <w:marLeft w:val="0"/>
              <w:marRight w:val="0"/>
              <w:marTop w:val="0"/>
              <w:marBottom w:val="0"/>
              <w:divBdr>
                <w:top w:val="none" w:sz="0" w:space="0" w:color="auto"/>
                <w:left w:val="none" w:sz="0" w:space="0" w:color="auto"/>
                <w:bottom w:val="none" w:sz="0" w:space="0" w:color="auto"/>
                <w:right w:val="none" w:sz="0" w:space="0" w:color="auto"/>
              </w:divBdr>
            </w:div>
          </w:divsChild>
        </w:div>
        <w:div w:id="1301765700">
          <w:marLeft w:val="0"/>
          <w:marRight w:val="0"/>
          <w:marTop w:val="0"/>
          <w:marBottom w:val="0"/>
          <w:divBdr>
            <w:top w:val="none" w:sz="0" w:space="0" w:color="auto"/>
            <w:left w:val="none" w:sz="0" w:space="0" w:color="auto"/>
            <w:bottom w:val="none" w:sz="0" w:space="0" w:color="auto"/>
            <w:right w:val="none" w:sz="0" w:space="0" w:color="auto"/>
          </w:divBdr>
          <w:divsChild>
            <w:div w:id="1382054340">
              <w:marLeft w:val="0"/>
              <w:marRight w:val="0"/>
              <w:marTop w:val="0"/>
              <w:marBottom w:val="0"/>
              <w:divBdr>
                <w:top w:val="none" w:sz="0" w:space="0" w:color="auto"/>
                <w:left w:val="none" w:sz="0" w:space="0" w:color="auto"/>
                <w:bottom w:val="none" w:sz="0" w:space="0" w:color="auto"/>
                <w:right w:val="none" w:sz="0" w:space="0" w:color="auto"/>
              </w:divBdr>
            </w:div>
            <w:div w:id="184077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8359">
      <w:bodyDiv w:val="1"/>
      <w:marLeft w:val="0"/>
      <w:marRight w:val="0"/>
      <w:marTop w:val="0"/>
      <w:marBottom w:val="0"/>
      <w:divBdr>
        <w:top w:val="none" w:sz="0" w:space="0" w:color="auto"/>
        <w:left w:val="none" w:sz="0" w:space="0" w:color="auto"/>
        <w:bottom w:val="none" w:sz="0" w:space="0" w:color="auto"/>
        <w:right w:val="none" w:sz="0" w:space="0" w:color="auto"/>
      </w:divBdr>
      <w:divsChild>
        <w:div w:id="1949115086">
          <w:marLeft w:val="0"/>
          <w:marRight w:val="0"/>
          <w:marTop w:val="0"/>
          <w:marBottom w:val="75"/>
          <w:divBdr>
            <w:top w:val="none" w:sz="0" w:space="0" w:color="auto"/>
            <w:left w:val="none" w:sz="0" w:space="0" w:color="auto"/>
            <w:bottom w:val="none" w:sz="0" w:space="0" w:color="auto"/>
            <w:right w:val="none" w:sz="0" w:space="0" w:color="auto"/>
          </w:divBdr>
        </w:div>
        <w:div w:id="889270406">
          <w:marLeft w:val="0"/>
          <w:marRight w:val="0"/>
          <w:marTop w:val="0"/>
          <w:marBottom w:val="0"/>
          <w:divBdr>
            <w:top w:val="none" w:sz="0" w:space="0" w:color="auto"/>
            <w:left w:val="none" w:sz="0" w:space="0" w:color="auto"/>
            <w:bottom w:val="none" w:sz="0" w:space="0" w:color="auto"/>
            <w:right w:val="none" w:sz="0" w:space="0" w:color="auto"/>
          </w:divBdr>
        </w:div>
        <w:div w:id="556280505">
          <w:marLeft w:val="0"/>
          <w:marRight w:val="0"/>
          <w:marTop w:val="75"/>
          <w:marBottom w:val="0"/>
          <w:divBdr>
            <w:top w:val="none" w:sz="0" w:space="0" w:color="auto"/>
            <w:left w:val="none" w:sz="0" w:space="0" w:color="auto"/>
            <w:bottom w:val="none" w:sz="0" w:space="0" w:color="auto"/>
            <w:right w:val="none" w:sz="0" w:space="0" w:color="auto"/>
          </w:divBdr>
        </w:div>
      </w:divsChild>
    </w:div>
    <w:div w:id="36051431">
      <w:bodyDiv w:val="1"/>
      <w:marLeft w:val="0"/>
      <w:marRight w:val="0"/>
      <w:marTop w:val="0"/>
      <w:marBottom w:val="0"/>
      <w:divBdr>
        <w:top w:val="none" w:sz="0" w:space="0" w:color="auto"/>
        <w:left w:val="none" w:sz="0" w:space="0" w:color="auto"/>
        <w:bottom w:val="none" w:sz="0" w:space="0" w:color="auto"/>
        <w:right w:val="none" w:sz="0" w:space="0" w:color="auto"/>
      </w:divBdr>
      <w:divsChild>
        <w:div w:id="1760176661">
          <w:marLeft w:val="0"/>
          <w:marRight w:val="0"/>
          <w:marTop w:val="0"/>
          <w:marBottom w:val="0"/>
          <w:divBdr>
            <w:top w:val="none" w:sz="0" w:space="0" w:color="auto"/>
            <w:left w:val="none" w:sz="0" w:space="0" w:color="auto"/>
            <w:bottom w:val="none" w:sz="0" w:space="0" w:color="auto"/>
            <w:right w:val="none" w:sz="0" w:space="0" w:color="auto"/>
          </w:divBdr>
          <w:divsChild>
            <w:div w:id="1527014098">
              <w:marLeft w:val="0"/>
              <w:marRight w:val="0"/>
              <w:marTop w:val="0"/>
              <w:marBottom w:val="0"/>
              <w:divBdr>
                <w:top w:val="none" w:sz="0" w:space="0" w:color="auto"/>
                <w:left w:val="none" w:sz="0" w:space="0" w:color="auto"/>
                <w:bottom w:val="none" w:sz="0" w:space="0" w:color="auto"/>
                <w:right w:val="none" w:sz="0" w:space="0" w:color="auto"/>
              </w:divBdr>
            </w:div>
            <w:div w:id="66848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16573">
      <w:bodyDiv w:val="1"/>
      <w:marLeft w:val="0"/>
      <w:marRight w:val="0"/>
      <w:marTop w:val="0"/>
      <w:marBottom w:val="0"/>
      <w:divBdr>
        <w:top w:val="none" w:sz="0" w:space="0" w:color="auto"/>
        <w:left w:val="none" w:sz="0" w:space="0" w:color="auto"/>
        <w:bottom w:val="none" w:sz="0" w:space="0" w:color="auto"/>
        <w:right w:val="none" w:sz="0" w:space="0" w:color="auto"/>
      </w:divBdr>
    </w:div>
    <w:div w:id="40060932">
      <w:bodyDiv w:val="1"/>
      <w:marLeft w:val="0"/>
      <w:marRight w:val="0"/>
      <w:marTop w:val="0"/>
      <w:marBottom w:val="0"/>
      <w:divBdr>
        <w:top w:val="none" w:sz="0" w:space="0" w:color="auto"/>
        <w:left w:val="none" w:sz="0" w:space="0" w:color="auto"/>
        <w:bottom w:val="none" w:sz="0" w:space="0" w:color="auto"/>
        <w:right w:val="none" w:sz="0" w:space="0" w:color="auto"/>
      </w:divBdr>
      <w:divsChild>
        <w:div w:id="1346176424">
          <w:marLeft w:val="0"/>
          <w:marRight w:val="0"/>
          <w:marTop w:val="0"/>
          <w:marBottom w:val="0"/>
          <w:divBdr>
            <w:top w:val="none" w:sz="0" w:space="0" w:color="auto"/>
            <w:left w:val="none" w:sz="0" w:space="0" w:color="auto"/>
            <w:bottom w:val="none" w:sz="0" w:space="0" w:color="auto"/>
            <w:right w:val="none" w:sz="0" w:space="0" w:color="auto"/>
          </w:divBdr>
          <w:divsChild>
            <w:div w:id="881213548">
              <w:marLeft w:val="0"/>
              <w:marRight w:val="0"/>
              <w:marTop w:val="0"/>
              <w:marBottom w:val="0"/>
              <w:divBdr>
                <w:top w:val="none" w:sz="0" w:space="0" w:color="auto"/>
                <w:left w:val="none" w:sz="0" w:space="0" w:color="auto"/>
                <w:bottom w:val="none" w:sz="0" w:space="0" w:color="auto"/>
                <w:right w:val="none" w:sz="0" w:space="0" w:color="auto"/>
              </w:divBdr>
            </w:div>
            <w:div w:id="25880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2972">
      <w:bodyDiv w:val="1"/>
      <w:marLeft w:val="0"/>
      <w:marRight w:val="0"/>
      <w:marTop w:val="0"/>
      <w:marBottom w:val="0"/>
      <w:divBdr>
        <w:top w:val="none" w:sz="0" w:space="0" w:color="auto"/>
        <w:left w:val="none" w:sz="0" w:space="0" w:color="auto"/>
        <w:bottom w:val="none" w:sz="0" w:space="0" w:color="auto"/>
        <w:right w:val="none" w:sz="0" w:space="0" w:color="auto"/>
      </w:divBdr>
    </w:div>
    <w:div w:id="52437489">
      <w:bodyDiv w:val="1"/>
      <w:marLeft w:val="0"/>
      <w:marRight w:val="0"/>
      <w:marTop w:val="0"/>
      <w:marBottom w:val="0"/>
      <w:divBdr>
        <w:top w:val="none" w:sz="0" w:space="0" w:color="auto"/>
        <w:left w:val="none" w:sz="0" w:space="0" w:color="auto"/>
        <w:bottom w:val="none" w:sz="0" w:space="0" w:color="auto"/>
        <w:right w:val="none" w:sz="0" w:space="0" w:color="auto"/>
      </w:divBdr>
      <w:divsChild>
        <w:div w:id="383136187">
          <w:marLeft w:val="0"/>
          <w:marRight w:val="0"/>
          <w:marTop w:val="0"/>
          <w:marBottom w:val="0"/>
          <w:divBdr>
            <w:top w:val="none" w:sz="0" w:space="0" w:color="auto"/>
            <w:left w:val="none" w:sz="0" w:space="0" w:color="auto"/>
            <w:bottom w:val="none" w:sz="0" w:space="0" w:color="auto"/>
            <w:right w:val="none" w:sz="0" w:space="0" w:color="auto"/>
          </w:divBdr>
        </w:div>
        <w:div w:id="1484345435">
          <w:marLeft w:val="0"/>
          <w:marRight w:val="0"/>
          <w:marTop w:val="0"/>
          <w:marBottom w:val="0"/>
          <w:divBdr>
            <w:top w:val="none" w:sz="0" w:space="0" w:color="auto"/>
            <w:left w:val="none" w:sz="0" w:space="0" w:color="auto"/>
            <w:bottom w:val="none" w:sz="0" w:space="0" w:color="auto"/>
            <w:right w:val="none" w:sz="0" w:space="0" w:color="auto"/>
          </w:divBdr>
        </w:div>
        <w:div w:id="1673142154">
          <w:marLeft w:val="0"/>
          <w:marRight w:val="0"/>
          <w:marTop w:val="0"/>
          <w:marBottom w:val="0"/>
          <w:divBdr>
            <w:top w:val="none" w:sz="0" w:space="0" w:color="auto"/>
            <w:left w:val="none" w:sz="0" w:space="0" w:color="auto"/>
            <w:bottom w:val="none" w:sz="0" w:space="0" w:color="auto"/>
            <w:right w:val="none" w:sz="0" w:space="0" w:color="auto"/>
          </w:divBdr>
        </w:div>
      </w:divsChild>
    </w:div>
    <w:div w:id="116535395">
      <w:bodyDiv w:val="1"/>
      <w:marLeft w:val="0"/>
      <w:marRight w:val="0"/>
      <w:marTop w:val="0"/>
      <w:marBottom w:val="0"/>
      <w:divBdr>
        <w:top w:val="none" w:sz="0" w:space="0" w:color="auto"/>
        <w:left w:val="none" w:sz="0" w:space="0" w:color="auto"/>
        <w:bottom w:val="none" w:sz="0" w:space="0" w:color="auto"/>
        <w:right w:val="none" w:sz="0" w:space="0" w:color="auto"/>
      </w:divBdr>
      <w:divsChild>
        <w:div w:id="2028941749">
          <w:marLeft w:val="0"/>
          <w:marRight w:val="0"/>
          <w:marTop w:val="0"/>
          <w:marBottom w:val="0"/>
          <w:divBdr>
            <w:top w:val="none" w:sz="0" w:space="0" w:color="auto"/>
            <w:left w:val="none" w:sz="0" w:space="0" w:color="auto"/>
            <w:bottom w:val="none" w:sz="0" w:space="0" w:color="auto"/>
            <w:right w:val="none" w:sz="0" w:space="0" w:color="auto"/>
          </w:divBdr>
        </w:div>
      </w:divsChild>
    </w:div>
    <w:div w:id="121266695">
      <w:bodyDiv w:val="1"/>
      <w:marLeft w:val="0"/>
      <w:marRight w:val="0"/>
      <w:marTop w:val="0"/>
      <w:marBottom w:val="0"/>
      <w:divBdr>
        <w:top w:val="none" w:sz="0" w:space="0" w:color="auto"/>
        <w:left w:val="none" w:sz="0" w:space="0" w:color="auto"/>
        <w:bottom w:val="none" w:sz="0" w:space="0" w:color="auto"/>
        <w:right w:val="none" w:sz="0" w:space="0" w:color="auto"/>
      </w:divBdr>
      <w:divsChild>
        <w:div w:id="630788007">
          <w:marLeft w:val="0"/>
          <w:marRight w:val="0"/>
          <w:marTop w:val="0"/>
          <w:marBottom w:val="0"/>
          <w:divBdr>
            <w:top w:val="none" w:sz="0" w:space="0" w:color="auto"/>
            <w:left w:val="none" w:sz="0" w:space="0" w:color="auto"/>
            <w:bottom w:val="none" w:sz="0" w:space="0" w:color="auto"/>
            <w:right w:val="none" w:sz="0" w:space="0" w:color="auto"/>
          </w:divBdr>
          <w:divsChild>
            <w:div w:id="1275483587">
              <w:marLeft w:val="0"/>
              <w:marRight w:val="0"/>
              <w:marTop w:val="0"/>
              <w:marBottom w:val="0"/>
              <w:divBdr>
                <w:top w:val="none" w:sz="0" w:space="0" w:color="auto"/>
                <w:left w:val="none" w:sz="0" w:space="0" w:color="auto"/>
                <w:bottom w:val="none" w:sz="0" w:space="0" w:color="auto"/>
                <w:right w:val="none" w:sz="0" w:space="0" w:color="auto"/>
              </w:divBdr>
            </w:div>
            <w:div w:id="87720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35708">
      <w:bodyDiv w:val="1"/>
      <w:marLeft w:val="0"/>
      <w:marRight w:val="0"/>
      <w:marTop w:val="0"/>
      <w:marBottom w:val="0"/>
      <w:divBdr>
        <w:top w:val="none" w:sz="0" w:space="0" w:color="auto"/>
        <w:left w:val="none" w:sz="0" w:space="0" w:color="auto"/>
        <w:bottom w:val="none" w:sz="0" w:space="0" w:color="auto"/>
        <w:right w:val="none" w:sz="0" w:space="0" w:color="auto"/>
      </w:divBdr>
      <w:divsChild>
        <w:div w:id="1651402576">
          <w:marLeft w:val="0"/>
          <w:marRight w:val="0"/>
          <w:marTop w:val="0"/>
          <w:marBottom w:val="75"/>
          <w:divBdr>
            <w:top w:val="none" w:sz="0" w:space="0" w:color="auto"/>
            <w:left w:val="none" w:sz="0" w:space="0" w:color="auto"/>
            <w:bottom w:val="none" w:sz="0" w:space="0" w:color="auto"/>
            <w:right w:val="none" w:sz="0" w:space="0" w:color="auto"/>
          </w:divBdr>
        </w:div>
        <w:div w:id="328602127">
          <w:marLeft w:val="0"/>
          <w:marRight w:val="0"/>
          <w:marTop w:val="75"/>
          <w:marBottom w:val="0"/>
          <w:divBdr>
            <w:top w:val="none" w:sz="0" w:space="0" w:color="auto"/>
            <w:left w:val="none" w:sz="0" w:space="0" w:color="auto"/>
            <w:bottom w:val="none" w:sz="0" w:space="0" w:color="auto"/>
            <w:right w:val="none" w:sz="0" w:space="0" w:color="auto"/>
          </w:divBdr>
        </w:div>
        <w:div w:id="1362781968">
          <w:marLeft w:val="0"/>
          <w:marRight w:val="0"/>
          <w:marTop w:val="0"/>
          <w:marBottom w:val="0"/>
          <w:divBdr>
            <w:top w:val="none" w:sz="0" w:space="0" w:color="auto"/>
            <w:left w:val="none" w:sz="0" w:space="0" w:color="auto"/>
            <w:bottom w:val="none" w:sz="0" w:space="0" w:color="auto"/>
            <w:right w:val="none" w:sz="0" w:space="0" w:color="auto"/>
          </w:divBdr>
        </w:div>
      </w:divsChild>
    </w:div>
    <w:div w:id="133448908">
      <w:bodyDiv w:val="1"/>
      <w:marLeft w:val="0"/>
      <w:marRight w:val="0"/>
      <w:marTop w:val="0"/>
      <w:marBottom w:val="0"/>
      <w:divBdr>
        <w:top w:val="none" w:sz="0" w:space="0" w:color="auto"/>
        <w:left w:val="none" w:sz="0" w:space="0" w:color="auto"/>
        <w:bottom w:val="none" w:sz="0" w:space="0" w:color="auto"/>
        <w:right w:val="none" w:sz="0" w:space="0" w:color="auto"/>
      </w:divBdr>
      <w:divsChild>
        <w:div w:id="448743270">
          <w:marLeft w:val="0"/>
          <w:marRight w:val="0"/>
          <w:marTop w:val="0"/>
          <w:marBottom w:val="75"/>
          <w:divBdr>
            <w:top w:val="none" w:sz="0" w:space="0" w:color="auto"/>
            <w:left w:val="none" w:sz="0" w:space="0" w:color="auto"/>
            <w:bottom w:val="none" w:sz="0" w:space="0" w:color="auto"/>
            <w:right w:val="none" w:sz="0" w:space="0" w:color="auto"/>
          </w:divBdr>
        </w:div>
        <w:div w:id="815336165">
          <w:marLeft w:val="0"/>
          <w:marRight w:val="0"/>
          <w:marTop w:val="75"/>
          <w:marBottom w:val="0"/>
          <w:divBdr>
            <w:top w:val="none" w:sz="0" w:space="0" w:color="auto"/>
            <w:left w:val="none" w:sz="0" w:space="0" w:color="auto"/>
            <w:bottom w:val="none" w:sz="0" w:space="0" w:color="auto"/>
            <w:right w:val="none" w:sz="0" w:space="0" w:color="auto"/>
          </w:divBdr>
        </w:div>
      </w:divsChild>
    </w:div>
    <w:div w:id="193009795">
      <w:bodyDiv w:val="1"/>
      <w:marLeft w:val="0"/>
      <w:marRight w:val="0"/>
      <w:marTop w:val="0"/>
      <w:marBottom w:val="0"/>
      <w:divBdr>
        <w:top w:val="none" w:sz="0" w:space="0" w:color="auto"/>
        <w:left w:val="none" w:sz="0" w:space="0" w:color="auto"/>
        <w:bottom w:val="none" w:sz="0" w:space="0" w:color="auto"/>
        <w:right w:val="none" w:sz="0" w:space="0" w:color="auto"/>
      </w:divBdr>
      <w:divsChild>
        <w:div w:id="67388289">
          <w:marLeft w:val="0"/>
          <w:marRight w:val="0"/>
          <w:marTop w:val="0"/>
          <w:marBottom w:val="75"/>
          <w:divBdr>
            <w:top w:val="none" w:sz="0" w:space="0" w:color="auto"/>
            <w:left w:val="none" w:sz="0" w:space="0" w:color="auto"/>
            <w:bottom w:val="none" w:sz="0" w:space="0" w:color="auto"/>
            <w:right w:val="none" w:sz="0" w:space="0" w:color="auto"/>
          </w:divBdr>
        </w:div>
        <w:div w:id="909771623">
          <w:marLeft w:val="0"/>
          <w:marRight w:val="0"/>
          <w:marTop w:val="75"/>
          <w:marBottom w:val="0"/>
          <w:divBdr>
            <w:top w:val="none" w:sz="0" w:space="0" w:color="auto"/>
            <w:left w:val="none" w:sz="0" w:space="0" w:color="auto"/>
            <w:bottom w:val="none" w:sz="0" w:space="0" w:color="auto"/>
            <w:right w:val="none" w:sz="0" w:space="0" w:color="auto"/>
          </w:divBdr>
        </w:div>
      </w:divsChild>
    </w:div>
    <w:div w:id="198979808">
      <w:bodyDiv w:val="1"/>
      <w:marLeft w:val="0"/>
      <w:marRight w:val="0"/>
      <w:marTop w:val="0"/>
      <w:marBottom w:val="0"/>
      <w:divBdr>
        <w:top w:val="none" w:sz="0" w:space="0" w:color="auto"/>
        <w:left w:val="none" w:sz="0" w:space="0" w:color="auto"/>
        <w:bottom w:val="none" w:sz="0" w:space="0" w:color="auto"/>
        <w:right w:val="none" w:sz="0" w:space="0" w:color="auto"/>
      </w:divBdr>
      <w:divsChild>
        <w:div w:id="1559046785">
          <w:marLeft w:val="0"/>
          <w:marRight w:val="0"/>
          <w:marTop w:val="0"/>
          <w:marBottom w:val="75"/>
          <w:divBdr>
            <w:top w:val="none" w:sz="0" w:space="0" w:color="auto"/>
            <w:left w:val="none" w:sz="0" w:space="0" w:color="auto"/>
            <w:bottom w:val="none" w:sz="0" w:space="0" w:color="auto"/>
            <w:right w:val="none" w:sz="0" w:space="0" w:color="auto"/>
          </w:divBdr>
        </w:div>
        <w:div w:id="362635839">
          <w:marLeft w:val="0"/>
          <w:marRight w:val="0"/>
          <w:marTop w:val="0"/>
          <w:marBottom w:val="0"/>
          <w:divBdr>
            <w:top w:val="none" w:sz="0" w:space="0" w:color="auto"/>
            <w:left w:val="none" w:sz="0" w:space="0" w:color="auto"/>
            <w:bottom w:val="none" w:sz="0" w:space="0" w:color="auto"/>
            <w:right w:val="none" w:sz="0" w:space="0" w:color="auto"/>
          </w:divBdr>
        </w:div>
        <w:div w:id="652635214">
          <w:marLeft w:val="0"/>
          <w:marRight w:val="0"/>
          <w:marTop w:val="75"/>
          <w:marBottom w:val="0"/>
          <w:divBdr>
            <w:top w:val="none" w:sz="0" w:space="0" w:color="auto"/>
            <w:left w:val="none" w:sz="0" w:space="0" w:color="auto"/>
            <w:bottom w:val="none" w:sz="0" w:space="0" w:color="auto"/>
            <w:right w:val="none" w:sz="0" w:space="0" w:color="auto"/>
          </w:divBdr>
        </w:div>
      </w:divsChild>
    </w:div>
    <w:div w:id="209345476">
      <w:bodyDiv w:val="1"/>
      <w:marLeft w:val="0"/>
      <w:marRight w:val="0"/>
      <w:marTop w:val="0"/>
      <w:marBottom w:val="0"/>
      <w:divBdr>
        <w:top w:val="none" w:sz="0" w:space="0" w:color="auto"/>
        <w:left w:val="none" w:sz="0" w:space="0" w:color="auto"/>
        <w:bottom w:val="none" w:sz="0" w:space="0" w:color="auto"/>
        <w:right w:val="none" w:sz="0" w:space="0" w:color="auto"/>
      </w:divBdr>
      <w:divsChild>
        <w:div w:id="199051059">
          <w:marLeft w:val="0"/>
          <w:marRight w:val="0"/>
          <w:marTop w:val="0"/>
          <w:marBottom w:val="0"/>
          <w:divBdr>
            <w:top w:val="none" w:sz="0" w:space="0" w:color="auto"/>
            <w:left w:val="none" w:sz="0" w:space="0" w:color="auto"/>
            <w:bottom w:val="none" w:sz="0" w:space="0" w:color="auto"/>
            <w:right w:val="none" w:sz="0" w:space="0" w:color="auto"/>
          </w:divBdr>
          <w:divsChild>
            <w:div w:id="2050883774">
              <w:marLeft w:val="0"/>
              <w:marRight w:val="0"/>
              <w:marTop w:val="0"/>
              <w:marBottom w:val="0"/>
              <w:divBdr>
                <w:top w:val="none" w:sz="0" w:space="0" w:color="auto"/>
                <w:left w:val="none" w:sz="0" w:space="0" w:color="auto"/>
                <w:bottom w:val="none" w:sz="0" w:space="0" w:color="auto"/>
                <w:right w:val="none" w:sz="0" w:space="0" w:color="auto"/>
              </w:divBdr>
            </w:div>
            <w:div w:id="213012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87297">
      <w:bodyDiv w:val="1"/>
      <w:marLeft w:val="0"/>
      <w:marRight w:val="0"/>
      <w:marTop w:val="0"/>
      <w:marBottom w:val="0"/>
      <w:divBdr>
        <w:top w:val="none" w:sz="0" w:space="0" w:color="auto"/>
        <w:left w:val="none" w:sz="0" w:space="0" w:color="auto"/>
        <w:bottom w:val="none" w:sz="0" w:space="0" w:color="auto"/>
        <w:right w:val="none" w:sz="0" w:space="0" w:color="auto"/>
      </w:divBdr>
      <w:divsChild>
        <w:div w:id="698163933">
          <w:marLeft w:val="0"/>
          <w:marRight w:val="0"/>
          <w:marTop w:val="0"/>
          <w:marBottom w:val="0"/>
          <w:divBdr>
            <w:top w:val="none" w:sz="0" w:space="0" w:color="auto"/>
            <w:left w:val="none" w:sz="0" w:space="0" w:color="auto"/>
            <w:bottom w:val="none" w:sz="0" w:space="0" w:color="auto"/>
            <w:right w:val="none" w:sz="0" w:space="0" w:color="auto"/>
          </w:divBdr>
          <w:divsChild>
            <w:div w:id="564337351">
              <w:marLeft w:val="0"/>
              <w:marRight w:val="0"/>
              <w:marTop w:val="0"/>
              <w:marBottom w:val="0"/>
              <w:divBdr>
                <w:top w:val="none" w:sz="0" w:space="0" w:color="auto"/>
                <w:left w:val="none" w:sz="0" w:space="0" w:color="auto"/>
                <w:bottom w:val="none" w:sz="0" w:space="0" w:color="auto"/>
                <w:right w:val="none" w:sz="0" w:space="0" w:color="auto"/>
              </w:divBdr>
            </w:div>
            <w:div w:id="151676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001879">
      <w:bodyDiv w:val="1"/>
      <w:marLeft w:val="0"/>
      <w:marRight w:val="0"/>
      <w:marTop w:val="0"/>
      <w:marBottom w:val="0"/>
      <w:divBdr>
        <w:top w:val="none" w:sz="0" w:space="0" w:color="auto"/>
        <w:left w:val="none" w:sz="0" w:space="0" w:color="auto"/>
        <w:bottom w:val="none" w:sz="0" w:space="0" w:color="auto"/>
        <w:right w:val="none" w:sz="0" w:space="0" w:color="auto"/>
      </w:divBdr>
      <w:divsChild>
        <w:div w:id="587539724">
          <w:marLeft w:val="0"/>
          <w:marRight w:val="0"/>
          <w:marTop w:val="0"/>
          <w:marBottom w:val="75"/>
          <w:divBdr>
            <w:top w:val="none" w:sz="0" w:space="0" w:color="auto"/>
            <w:left w:val="none" w:sz="0" w:space="0" w:color="auto"/>
            <w:bottom w:val="none" w:sz="0" w:space="0" w:color="auto"/>
            <w:right w:val="none" w:sz="0" w:space="0" w:color="auto"/>
          </w:divBdr>
        </w:div>
        <w:div w:id="1631856766">
          <w:marLeft w:val="0"/>
          <w:marRight w:val="0"/>
          <w:marTop w:val="75"/>
          <w:marBottom w:val="0"/>
          <w:divBdr>
            <w:top w:val="none" w:sz="0" w:space="0" w:color="auto"/>
            <w:left w:val="none" w:sz="0" w:space="0" w:color="auto"/>
            <w:bottom w:val="none" w:sz="0" w:space="0" w:color="auto"/>
            <w:right w:val="none" w:sz="0" w:space="0" w:color="auto"/>
          </w:divBdr>
        </w:div>
      </w:divsChild>
    </w:div>
    <w:div w:id="236213575">
      <w:bodyDiv w:val="1"/>
      <w:marLeft w:val="0"/>
      <w:marRight w:val="0"/>
      <w:marTop w:val="0"/>
      <w:marBottom w:val="0"/>
      <w:divBdr>
        <w:top w:val="none" w:sz="0" w:space="0" w:color="auto"/>
        <w:left w:val="none" w:sz="0" w:space="0" w:color="auto"/>
        <w:bottom w:val="none" w:sz="0" w:space="0" w:color="auto"/>
        <w:right w:val="none" w:sz="0" w:space="0" w:color="auto"/>
      </w:divBdr>
    </w:div>
    <w:div w:id="244657977">
      <w:bodyDiv w:val="1"/>
      <w:marLeft w:val="0"/>
      <w:marRight w:val="0"/>
      <w:marTop w:val="0"/>
      <w:marBottom w:val="0"/>
      <w:divBdr>
        <w:top w:val="none" w:sz="0" w:space="0" w:color="auto"/>
        <w:left w:val="none" w:sz="0" w:space="0" w:color="auto"/>
        <w:bottom w:val="none" w:sz="0" w:space="0" w:color="auto"/>
        <w:right w:val="none" w:sz="0" w:space="0" w:color="auto"/>
      </w:divBdr>
      <w:divsChild>
        <w:div w:id="529955204">
          <w:marLeft w:val="0"/>
          <w:marRight w:val="0"/>
          <w:marTop w:val="0"/>
          <w:marBottom w:val="75"/>
          <w:divBdr>
            <w:top w:val="none" w:sz="0" w:space="0" w:color="auto"/>
            <w:left w:val="none" w:sz="0" w:space="0" w:color="auto"/>
            <w:bottom w:val="none" w:sz="0" w:space="0" w:color="auto"/>
            <w:right w:val="none" w:sz="0" w:space="0" w:color="auto"/>
          </w:divBdr>
        </w:div>
        <w:div w:id="2076201740">
          <w:marLeft w:val="0"/>
          <w:marRight w:val="0"/>
          <w:marTop w:val="75"/>
          <w:marBottom w:val="0"/>
          <w:divBdr>
            <w:top w:val="none" w:sz="0" w:space="0" w:color="auto"/>
            <w:left w:val="none" w:sz="0" w:space="0" w:color="auto"/>
            <w:bottom w:val="none" w:sz="0" w:space="0" w:color="auto"/>
            <w:right w:val="none" w:sz="0" w:space="0" w:color="auto"/>
          </w:divBdr>
        </w:div>
      </w:divsChild>
    </w:div>
    <w:div w:id="250044321">
      <w:bodyDiv w:val="1"/>
      <w:marLeft w:val="0"/>
      <w:marRight w:val="0"/>
      <w:marTop w:val="0"/>
      <w:marBottom w:val="0"/>
      <w:divBdr>
        <w:top w:val="none" w:sz="0" w:space="0" w:color="auto"/>
        <w:left w:val="none" w:sz="0" w:space="0" w:color="auto"/>
        <w:bottom w:val="none" w:sz="0" w:space="0" w:color="auto"/>
        <w:right w:val="none" w:sz="0" w:space="0" w:color="auto"/>
      </w:divBdr>
      <w:divsChild>
        <w:div w:id="1066800840">
          <w:marLeft w:val="0"/>
          <w:marRight w:val="0"/>
          <w:marTop w:val="0"/>
          <w:marBottom w:val="0"/>
          <w:divBdr>
            <w:top w:val="none" w:sz="0" w:space="0" w:color="auto"/>
            <w:left w:val="none" w:sz="0" w:space="0" w:color="auto"/>
            <w:bottom w:val="none" w:sz="0" w:space="0" w:color="auto"/>
            <w:right w:val="none" w:sz="0" w:space="0" w:color="auto"/>
          </w:divBdr>
          <w:divsChild>
            <w:div w:id="1273783356">
              <w:marLeft w:val="0"/>
              <w:marRight w:val="0"/>
              <w:marTop w:val="0"/>
              <w:marBottom w:val="0"/>
              <w:divBdr>
                <w:top w:val="none" w:sz="0" w:space="0" w:color="auto"/>
                <w:left w:val="none" w:sz="0" w:space="0" w:color="auto"/>
                <w:bottom w:val="none" w:sz="0" w:space="0" w:color="auto"/>
                <w:right w:val="none" w:sz="0" w:space="0" w:color="auto"/>
              </w:divBdr>
            </w:div>
            <w:div w:id="185873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981587">
      <w:bodyDiv w:val="1"/>
      <w:marLeft w:val="0"/>
      <w:marRight w:val="0"/>
      <w:marTop w:val="0"/>
      <w:marBottom w:val="0"/>
      <w:divBdr>
        <w:top w:val="none" w:sz="0" w:space="0" w:color="auto"/>
        <w:left w:val="none" w:sz="0" w:space="0" w:color="auto"/>
        <w:bottom w:val="none" w:sz="0" w:space="0" w:color="auto"/>
        <w:right w:val="none" w:sz="0" w:space="0" w:color="auto"/>
      </w:divBdr>
      <w:divsChild>
        <w:div w:id="1619407102">
          <w:marLeft w:val="0"/>
          <w:marRight w:val="0"/>
          <w:marTop w:val="0"/>
          <w:marBottom w:val="0"/>
          <w:divBdr>
            <w:top w:val="none" w:sz="0" w:space="0" w:color="auto"/>
            <w:left w:val="none" w:sz="0" w:space="0" w:color="auto"/>
            <w:bottom w:val="none" w:sz="0" w:space="0" w:color="auto"/>
            <w:right w:val="none" w:sz="0" w:space="0" w:color="auto"/>
          </w:divBdr>
          <w:divsChild>
            <w:div w:id="1643971744">
              <w:marLeft w:val="0"/>
              <w:marRight w:val="0"/>
              <w:marTop w:val="0"/>
              <w:marBottom w:val="0"/>
              <w:divBdr>
                <w:top w:val="none" w:sz="0" w:space="0" w:color="auto"/>
                <w:left w:val="none" w:sz="0" w:space="0" w:color="auto"/>
                <w:bottom w:val="none" w:sz="0" w:space="0" w:color="auto"/>
                <w:right w:val="none" w:sz="0" w:space="0" w:color="auto"/>
              </w:divBdr>
            </w:div>
            <w:div w:id="178673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196312">
      <w:bodyDiv w:val="1"/>
      <w:marLeft w:val="0"/>
      <w:marRight w:val="0"/>
      <w:marTop w:val="0"/>
      <w:marBottom w:val="0"/>
      <w:divBdr>
        <w:top w:val="none" w:sz="0" w:space="0" w:color="auto"/>
        <w:left w:val="none" w:sz="0" w:space="0" w:color="auto"/>
        <w:bottom w:val="none" w:sz="0" w:space="0" w:color="auto"/>
        <w:right w:val="none" w:sz="0" w:space="0" w:color="auto"/>
      </w:divBdr>
      <w:divsChild>
        <w:div w:id="1320420662">
          <w:marLeft w:val="0"/>
          <w:marRight w:val="0"/>
          <w:marTop w:val="0"/>
          <w:marBottom w:val="0"/>
          <w:divBdr>
            <w:top w:val="none" w:sz="0" w:space="0" w:color="auto"/>
            <w:left w:val="none" w:sz="0" w:space="0" w:color="auto"/>
            <w:bottom w:val="none" w:sz="0" w:space="0" w:color="auto"/>
            <w:right w:val="none" w:sz="0" w:space="0" w:color="auto"/>
          </w:divBdr>
        </w:div>
        <w:div w:id="2027439476">
          <w:marLeft w:val="0"/>
          <w:marRight w:val="0"/>
          <w:marTop w:val="0"/>
          <w:marBottom w:val="0"/>
          <w:divBdr>
            <w:top w:val="none" w:sz="0" w:space="0" w:color="auto"/>
            <w:left w:val="none" w:sz="0" w:space="0" w:color="auto"/>
            <w:bottom w:val="none" w:sz="0" w:space="0" w:color="auto"/>
            <w:right w:val="none" w:sz="0" w:space="0" w:color="auto"/>
          </w:divBdr>
        </w:div>
        <w:div w:id="324552219">
          <w:marLeft w:val="0"/>
          <w:marRight w:val="0"/>
          <w:marTop w:val="0"/>
          <w:marBottom w:val="0"/>
          <w:divBdr>
            <w:top w:val="none" w:sz="0" w:space="0" w:color="auto"/>
            <w:left w:val="none" w:sz="0" w:space="0" w:color="auto"/>
            <w:bottom w:val="none" w:sz="0" w:space="0" w:color="auto"/>
            <w:right w:val="none" w:sz="0" w:space="0" w:color="auto"/>
          </w:divBdr>
        </w:div>
      </w:divsChild>
    </w:div>
    <w:div w:id="277493287">
      <w:bodyDiv w:val="1"/>
      <w:marLeft w:val="0"/>
      <w:marRight w:val="0"/>
      <w:marTop w:val="0"/>
      <w:marBottom w:val="0"/>
      <w:divBdr>
        <w:top w:val="none" w:sz="0" w:space="0" w:color="auto"/>
        <w:left w:val="none" w:sz="0" w:space="0" w:color="auto"/>
        <w:bottom w:val="none" w:sz="0" w:space="0" w:color="auto"/>
        <w:right w:val="none" w:sz="0" w:space="0" w:color="auto"/>
      </w:divBdr>
      <w:divsChild>
        <w:div w:id="869760675">
          <w:marLeft w:val="0"/>
          <w:marRight w:val="0"/>
          <w:marTop w:val="0"/>
          <w:marBottom w:val="75"/>
          <w:divBdr>
            <w:top w:val="none" w:sz="0" w:space="0" w:color="auto"/>
            <w:left w:val="none" w:sz="0" w:space="0" w:color="auto"/>
            <w:bottom w:val="none" w:sz="0" w:space="0" w:color="auto"/>
            <w:right w:val="none" w:sz="0" w:space="0" w:color="auto"/>
          </w:divBdr>
        </w:div>
        <w:div w:id="1388257654">
          <w:marLeft w:val="0"/>
          <w:marRight w:val="0"/>
          <w:marTop w:val="0"/>
          <w:marBottom w:val="0"/>
          <w:divBdr>
            <w:top w:val="none" w:sz="0" w:space="0" w:color="auto"/>
            <w:left w:val="none" w:sz="0" w:space="0" w:color="auto"/>
            <w:bottom w:val="none" w:sz="0" w:space="0" w:color="auto"/>
            <w:right w:val="none" w:sz="0" w:space="0" w:color="auto"/>
          </w:divBdr>
        </w:div>
        <w:div w:id="987824619">
          <w:marLeft w:val="0"/>
          <w:marRight w:val="0"/>
          <w:marTop w:val="75"/>
          <w:marBottom w:val="0"/>
          <w:divBdr>
            <w:top w:val="none" w:sz="0" w:space="0" w:color="auto"/>
            <w:left w:val="none" w:sz="0" w:space="0" w:color="auto"/>
            <w:bottom w:val="none" w:sz="0" w:space="0" w:color="auto"/>
            <w:right w:val="none" w:sz="0" w:space="0" w:color="auto"/>
          </w:divBdr>
        </w:div>
      </w:divsChild>
    </w:div>
    <w:div w:id="282271062">
      <w:bodyDiv w:val="1"/>
      <w:marLeft w:val="0"/>
      <w:marRight w:val="0"/>
      <w:marTop w:val="0"/>
      <w:marBottom w:val="0"/>
      <w:divBdr>
        <w:top w:val="none" w:sz="0" w:space="0" w:color="auto"/>
        <w:left w:val="none" w:sz="0" w:space="0" w:color="auto"/>
        <w:bottom w:val="none" w:sz="0" w:space="0" w:color="auto"/>
        <w:right w:val="none" w:sz="0" w:space="0" w:color="auto"/>
      </w:divBdr>
      <w:divsChild>
        <w:div w:id="1819296903">
          <w:marLeft w:val="0"/>
          <w:marRight w:val="0"/>
          <w:marTop w:val="0"/>
          <w:marBottom w:val="0"/>
          <w:divBdr>
            <w:top w:val="none" w:sz="0" w:space="0" w:color="auto"/>
            <w:left w:val="none" w:sz="0" w:space="0" w:color="auto"/>
            <w:bottom w:val="none" w:sz="0" w:space="0" w:color="auto"/>
            <w:right w:val="none" w:sz="0" w:space="0" w:color="auto"/>
          </w:divBdr>
          <w:divsChild>
            <w:div w:id="519515565">
              <w:marLeft w:val="0"/>
              <w:marRight w:val="0"/>
              <w:marTop w:val="0"/>
              <w:marBottom w:val="0"/>
              <w:divBdr>
                <w:top w:val="none" w:sz="0" w:space="0" w:color="auto"/>
                <w:left w:val="none" w:sz="0" w:space="0" w:color="auto"/>
                <w:bottom w:val="none" w:sz="0" w:space="0" w:color="auto"/>
                <w:right w:val="none" w:sz="0" w:space="0" w:color="auto"/>
              </w:divBdr>
            </w:div>
            <w:div w:id="170486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205411">
      <w:bodyDiv w:val="1"/>
      <w:marLeft w:val="0"/>
      <w:marRight w:val="0"/>
      <w:marTop w:val="0"/>
      <w:marBottom w:val="0"/>
      <w:divBdr>
        <w:top w:val="none" w:sz="0" w:space="0" w:color="auto"/>
        <w:left w:val="none" w:sz="0" w:space="0" w:color="auto"/>
        <w:bottom w:val="none" w:sz="0" w:space="0" w:color="auto"/>
        <w:right w:val="none" w:sz="0" w:space="0" w:color="auto"/>
      </w:divBdr>
      <w:divsChild>
        <w:div w:id="704670901">
          <w:marLeft w:val="0"/>
          <w:marRight w:val="0"/>
          <w:marTop w:val="0"/>
          <w:marBottom w:val="0"/>
          <w:divBdr>
            <w:top w:val="none" w:sz="0" w:space="0" w:color="auto"/>
            <w:left w:val="none" w:sz="0" w:space="0" w:color="auto"/>
            <w:bottom w:val="none" w:sz="0" w:space="0" w:color="auto"/>
            <w:right w:val="none" w:sz="0" w:space="0" w:color="auto"/>
          </w:divBdr>
          <w:divsChild>
            <w:div w:id="1347513356">
              <w:marLeft w:val="0"/>
              <w:marRight w:val="0"/>
              <w:marTop w:val="0"/>
              <w:marBottom w:val="0"/>
              <w:divBdr>
                <w:top w:val="none" w:sz="0" w:space="0" w:color="auto"/>
                <w:left w:val="none" w:sz="0" w:space="0" w:color="auto"/>
                <w:bottom w:val="none" w:sz="0" w:space="0" w:color="auto"/>
                <w:right w:val="none" w:sz="0" w:space="0" w:color="auto"/>
              </w:divBdr>
            </w:div>
            <w:div w:id="65523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838619">
      <w:bodyDiv w:val="1"/>
      <w:marLeft w:val="0"/>
      <w:marRight w:val="0"/>
      <w:marTop w:val="0"/>
      <w:marBottom w:val="0"/>
      <w:divBdr>
        <w:top w:val="none" w:sz="0" w:space="0" w:color="auto"/>
        <w:left w:val="none" w:sz="0" w:space="0" w:color="auto"/>
        <w:bottom w:val="none" w:sz="0" w:space="0" w:color="auto"/>
        <w:right w:val="none" w:sz="0" w:space="0" w:color="auto"/>
      </w:divBdr>
      <w:divsChild>
        <w:div w:id="1479306068">
          <w:marLeft w:val="0"/>
          <w:marRight w:val="0"/>
          <w:marTop w:val="0"/>
          <w:marBottom w:val="0"/>
          <w:divBdr>
            <w:top w:val="none" w:sz="0" w:space="0" w:color="auto"/>
            <w:left w:val="none" w:sz="0" w:space="0" w:color="auto"/>
            <w:bottom w:val="none" w:sz="0" w:space="0" w:color="auto"/>
            <w:right w:val="none" w:sz="0" w:space="0" w:color="auto"/>
          </w:divBdr>
        </w:div>
        <w:div w:id="203635641">
          <w:marLeft w:val="0"/>
          <w:marRight w:val="0"/>
          <w:marTop w:val="0"/>
          <w:marBottom w:val="0"/>
          <w:divBdr>
            <w:top w:val="none" w:sz="0" w:space="0" w:color="auto"/>
            <w:left w:val="none" w:sz="0" w:space="0" w:color="auto"/>
            <w:bottom w:val="none" w:sz="0" w:space="0" w:color="auto"/>
            <w:right w:val="none" w:sz="0" w:space="0" w:color="auto"/>
          </w:divBdr>
        </w:div>
        <w:div w:id="966932875">
          <w:marLeft w:val="0"/>
          <w:marRight w:val="0"/>
          <w:marTop w:val="0"/>
          <w:marBottom w:val="0"/>
          <w:divBdr>
            <w:top w:val="none" w:sz="0" w:space="0" w:color="auto"/>
            <w:left w:val="none" w:sz="0" w:space="0" w:color="auto"/>
            <w:bottom w:val="none" w:sz="0" w:space="0" w:color="auto"/>
            <w:right w:val="none" w:sz="0" w:space="0" w:color="auto"/>
          </w:divBdr>
        </w:div>
      </w:divsChild>
    </w:div>
    <w:div w:id="316883738">
      <w:bodyDiv w:val="1"/>
      <w:marLeft w:val="0"/>
      <w:marRight w:val="0"/>
      <w:marTop w:val="0"/>
      <w:marBottom w:val="0"/>
      <w:divBdr>
        <w:top w:val="none" w:sz="0" w:space="0" w:color="auto"/>
        <w:left w:val="none" w:sz="0" w:space="0" w:color="auto"/>
        <w:bottom w:val="none" w:sz="0" w:space="0" w:color="auto"/>
        <w:right w:val="none" w:sz="0" w:space="0" w:color="auto"/>
      </w:divBdr>
    </w:div>
    <w:div w:id="328139437">
      <w:bodyDiv w:val="1"/>
      <w:marLeft w:val="0"/>
      <w:marRight w:val="0"/>
      <w:marTop w:val="0"/>
      <w:marBottom w:val="0"/>
      <w:divBdr>
        <w:top w:val="none" w:sz="0" w:space="0" w:color="auto"/>
        <w:left w:val="none" w:sz="0" w:space="0" w:color="auto"/>
        <w:bottom w:val="none" w:sz="0" w:space="0" w:color="auto"/>
        <w:right w:val="none" w:sz="0" w:space="0" w:color="auto"/>
      </w:divBdr>
      <w:divsChild>
        <w:div w:id="947660723">
          <w:marLeft w:val="0"/>
          <w:marRight w:val="0"/>
          <w:marTop w:val="0"/>
          <w:marBottom w:val="75"/>
          <w:divBdr>
            <w:top w:val="none" w:sz="0" w:space="0" w:color="auto"/>
            <w:left w:val="none" w:sz="0" w:space="0" w:color="auto"/>
            <w:bottom w:val="none" w:sz="0" w:space="0" w:color="auto"/>
            <w:right w:val="none" w:sz="0" w:space="0" w:color="auto"/>
          </w:divBdr>
        </w:div>
        <w:div w:id="538082707">
          <w:marLeft w:val="0"/>
          <w:marRight w:val="0"/>
          <w:marTop w:val="0"/>
          <w:marBottom w:val="0"/>
          <w:divBdr>
            <w:top w:val="none" w:sz="0" w:space="0" w:color="auto"/>
            <w:left w:val="none" w:sz="0" w:space="0" w:color="auto"/>
            <w:bottom w:val="none" w:sz="0" w:space="0" w:color="auto"/>
            <w:right w:val="none" w:sz="0" w:space="0" w:color="auto"/>
          </w:divBdr>
        </w:div>
        <w:div w:id="558519456">
          <w:marLeft w:val="0"/>
          <w:marRight w:val="0"/>
          <w:marTop w:val="75"/>
          <w:marBottom w:val="0"/>
          <w:divBdr>
            <w:top w:val="none" w:sz="0" w:space="0" w:color="auto"/>
            <w:left w:val="none" w:sz="0" w:space="0" w:color="auto"/>
            <w:bottom w:val="none" w:sz="0" w:space="0" w:color="auto"/>
            <w:right w:val="none" w:sz="0" w:space="0" w:color="auto"/>
          </w:divBdr>
        </w:div>
      </w:divsChild>
    </w:div>
    <w:div w:id="330330176">
      <w:bodyDiv w:val="1"/>
      <w:marLeft w:val="0"/>
      <w:marRight w:val="0"/>
      <w:marTop w:val="0"/>
      <w:marBottom w:val="0"/>
      <w:divBdr>
        <w:top w:val="none" w:sz="0" w:space="0" w:color="auto"/>
        <w:left w:val="none" w:sz="0" w:space="0" w:color="auto"/>
        <w:bottom w:val="none" w:sz="0" w:space="0" w:color="auto"/>
        <w:right w:val="none" w:sz="0" w:space="0" w:color="auto"/>
      </w:divBdr>
      <w:divsChild>
        <w:div w:id="367417657">
          <w:marLeft w:val="0"/>
          <w:marRight w:val="0"/>
          <w:marTop w:val="0"/>
          <w:marBottom w:val="75"/>
          <w:divBdr>
            <w:top w:val="none" w:sz="0" w:space="0" w:color="auto"/>
            <w:left w:val="none" w:sz="0" w:space="0" w:color="auto"/>
            <w:bottom w:val="none" w:sz="0" w:space="0" w:color="auto"/>
            <w:right w:val="none" w:sz="0" w:space="0" w:color="auto"/>
          </w:divBdr>
        </w:div>
        <w:div w:id="92748785">
          <w:marLeft w:val="0"/>
          <w:marRight w:val="0"/>
          <w:marTop w:val="75"/>
          <w:marBottom w:val="0"/>
          <w:divBdr>
            <w:top w:val="none" w:sz="0" w:space="0" w:color="auto"/>
            <w:left w:val="none" w:sz="0" w:space="0" w:color="auto"/>
            <w:bottom w:val="none" w:sz="0" w:space="0" w:color="auto"/>
            <w:right w:val="none" w:sz="0" w:space="0" w:color="auto"/>
          </w:divBdr>
        </w:div>
      </w:divsChild>
    </w:div>
    <w:div w:id="337924410">
      <w:bodyDiv w:val="1"/>
      <w:marLeft w:val="0"/>
      <w:marRight w:val="0"/>
      <w:marTop w:val="0"/>
      <w:marBottom w:val="0"/>
      <w:divBdr>
        <w:top w:val="none" w:sz="0" w:space="0" w:color="auto"/>
        <w:left w:val="none" w:sz="0" w:space="0" w:color="auto"/>
        <w:bottom w:val="none" w:sz="0" w:space="0" w:color="auto"/>
        <w:right w:val="none" w:sz="0" w:space="0" w:color="auto"/>
      </w:divBdr>
      <w:divsChild>
        <w:div w:id="1184905938">
          <w:marLeft w:val="0"/>
          <w:marRight w:val="0"/>
          <w:marTop w:val="0"/>
          <w:marBottom w:val="75"/>
          <w:divBdr>
            <w:top w:val="none" w:sz="0" w:space="0" w:color="auto"/>
            <w:left w:val="none" w:sz="0" w:space="0" w:color="auto"/>
            <w:bottom w:val="none" w:sz="0" w:space="0" w:color="auto"/>
            <w:right w:val="none" w:sz="0" w:space="0" w:color="auto"/>
          </w:divBdr>
        </w:div>
        <w:div w:id="794375099">
          <w:marLeft w:val="0"/>
          <w:marRight w:val="0"/>
          <w:marTop w:val="75"/>
          <w:marBottom w:val="0"/>
          <w:divBdr>
            <w:top w:val="none" w:sz="0" w:space="0" w:color="auto"/>
            <w:left w:val="none" w:sz="0" w:space="0" w:color="auto"/>
            <w:bottom w:val="none" w:sz="0" w:space="0" w:color="auto"/>
            <w:right w:val="none" w:sz="0" w:space="0" w:color="auto"/>
          </w:divBdr>
        </w:div>
      </w:divsChild>
    </w:div>
    <w:div w:id="347633711">
      <w:bodyDiv w:val="1"/>
      <w:marLeft w:val="0"/>
      <w:marRight w:val="0"/>
      <w:marTop w:val="0"/>
      <w:marBottom w:val="0"/>
      <w:divBdr>
        <w:top w:val="none" w:sz="0" w:space="0" w:color="auto"/>
        <w:left w:val="none" w:sz="0" w:space="0" w:color="auto"/>
        <w:bottom w:val="none" w:sz="0" w:space="0" w:color="auto"/>
        <w:right w:val="none" w:sz="0" w:space="0" w:color="auto"/>
      </w:divBdr>
      <w:divsChild>
        <w:div w:id="1629697661">
          <w:marLeft w:val="0"/>
          <w:marRight w:val="0"/>
          <w:marTop w:val="0"/>
          <w:marBottom w:val="75"/>
          <w:divBdr>
            <w:top w:val="none" w:sz="0" w:space="0" w:color="auto"/>
            <w:left w:val="none" w:sz="0" w:space="0" w:color="auto"/>
            <w:bottom w:val="none" w:sz="0" w:space="0" w:color="auto"/>
            <w:right w:val="none" w:sz="0" w:space="0" w:color="auto"/>
          </w:divBdr>
        </w:div>
        <w:div w:id="1758675723">
          <w:marLeft w:val="0"/>
          <w:marRight w:val="0"/>
          <w:marTop w:val="75"/>
          <w:marBottom w:val="0"/>
          <w:divBdr>
            <w:top w:val="none" w:sz="0" w:space="0" w:color="auto"/>
            <w:left w:val="none" w:sz="0" w:space="0" w:color="auto"/>
            <w:bottom w:val="none" w:sz="0" w:space="0" w:color="auto"/>
            <w:right w:val="none" w:sz="0" w:space="0" w:color="auto"/>
          </w:divBdr>
        </w:div>
      </w:divsChild>
    </w:div>
    <w:div w:id="350180587">
      <w:bodyDiv w:val="1"/>
      <w:marLeft w:val="0"/>
      <w:marRight w:val="0"/>
      <w:marTop w:val="0"/>
      <w:marBottom w:val="0"/>
      <w:divBdr>
        <w:top w:val="none" w:sz="0" w:space="0" w:color="auto"/>
        <w:left w:val="none" w:sz="0" w:space="0" w:color="auto"/>
        <w:bottom w:val="none" w:sz="0" w:space="0" w:color="auto"/>
        <w:right w:val="none" w:sz="0" w:space="0" w:color="auto"/>
      </w:divBdr>
      <w:divsChild>
        <w:div w:id="787629983">
          <w:marLeft w:val="0"/>
          <w:marRight w:val="0"/>
          <w:marTop w:val="0"/>
          <w:marBottom w:val="0"/>
          <w:divBdr>
            <w:top w:val="none" w:sz="0" w:space="0" w:color="auto"/>
            <w:left w:val="none" w:sz="0" w:space="0" w:color="auto"/>
            <w:bottom w:val="none" w:sz="0" w:space="0" w:color="auto"/>
            <w:right w:val="none" w:sz="0" w:space="0" w:color="auto"/>
          </w:divBdr>
        </w:div>
        <w:div w:id="1235358898">
          <w:marLeft w:val="0"/>
          <w:marRight w:val="0"/>
          <w:marTop w:val="0"/>
          <w:marBottom w:val="0"/>
          <w:divBdr>
            <w:top w:val="none" w:sz="0" w:space="0" w:color="auto"/>
            <w:left w:val="none" w:sz="0" w:space="0" w:color="auto"/>
            <w:bottom w:val="none" w:sz="0" w:space="0" w:color="auto"/>
            <w:right w:val="none" w:sz="0" w:space="0" w:color="auto"/>
          </w:divBdr>
        </w:div>
        <w:div w:id="129982521">
          <w:marLeft w:val="0"/>
          <w:marRight w:val="0"/>
          <w:marTop w:val="0"/>
          <w:marBottom w:val="0"/>
          <w:divBdr>
            <w:top w:val="none" w:sz="0" w:space="0" w:color="auto"/>
            <w:left w:val="none" w:sz="0" w:space="0" w:color="auto"/>
            <w:bottom w:val="none" w:sz="0" w:space="0" w:color="auto"/>
            <w:right w:val="none" w:sz="0" w:space="0" w:color="auto"/>
          </w:divBdr>
        </w:div>
      </w:divsChild>
    </w:div>
    <w:div w:id="370232856">
      <w:bodyDiv w:val="1"/>
      <w:marLeft w:val="0"/>
      <w:marRight w:val="0"/>
      <w:marTop w:val="0"/>
      <w:marBottom w:val="0"/>
      <w:divBdr>
        <w:top w:val="none" w:sz="0" w:space="0" w:color="auto"/>
        <w:left w:val="none" w:sz="0" w:space="0" w:color="auto"/>
        <w:bottom w:val="none" w:sz="0" w:space="0" w:color="auto"/>
        <w:right w:val="none" w:sz="0" w:space="0" w:color="auto"/>
      </w:divBdr>
      <w:divsChild>
        <w:div w:id="395128786">
          <w:marLeft w:val="0"/>
          <w:marRight w:val="0"/>
          <w:marTop w:val="0"/>
          <w:marBottom w:val="0"/>
          <w:divBdr>
            <w:top w:val="none" w:sz="0" w:space="0" w:color="auto"/>
            <w:left w:val="none" w:sz="0" w:space="0" w:color="auto"/>
            <w:bottom w:val="none" w:sz="0" w:space="0" w:color="auto"/>
            <w:right w:val="none" w:sz="0" w:space="0" w:color="auto"/>
          </w:divBdr>
        </w:div>
      </w:divsChild>
    </w:div>
    <w:div w:id="383409024">
      <w:bodyDiv w:val="1"/>
      <w:marLeft w:val="0"/>
      <w:marRight w:val="0"/>
      <w:marTop w:val="0"/>
      <w:marBottom w:val="0"/>
      <w:divBdr>
        <w:top w:val="none" w:sz="0" w:space="0" w:color="auto"/>
        <w:left w:val="none" w:sz="0" w:space="0" w:color="auto"/>
        <w:bottom w:val="none" w:sz="0" w:space="0" w:color="auto"/>
        <w:right w:val="none" w:sz="0" w:space="0" w:color="auto"/>
      </w:divBdr>
      <w:divsChild>
        <w:div w:id="1816874927">
          <w:marLeft w:val="0"/>
          <w:marRight w:val="0"/>
          <w:marTop w:val="0"/>
          <w:marBottom w:val="75"/>
          <w:divBdr>
            <w:top w:val="none" w:sz="0" w:space="0" w:color="auto"/>
            <w:left w:val="none" w:sz="0" w:space="0" w:color="auto"/>
            <w:bottom w:val="none" w:sz="0" w:space="0" w:color="auto"/>
            <w:right w:val="none" w:sz="0" w:space="0" w:color="auto"/>
          </w:divBdr>
        </w:div>
        <w:div w:id="2070300451">
          <w:marLeft w:val="0"/>
          <w:marRight w:val="0"/>
          <w:marTop w:val="75"/>
          <w:marBottom w:val="0"/>
          <w:divBdr>
            <w:top w:val="none" w:sz="0" w:space="0" w:color="auto"/>
            <w:left w:val="none" w:sz="0" w:space="0" w:color="auto"/>
            <w:bottom w:val="none" w:sz="0" w:space="0" w:color="auto"/>
            <w:right w:val="none" w:sz="0" w:space="0" w:color="auto"/>
          </w:divBdr>
        </w:div>
      </w:divsChild>
    </w:div>
    <w:div w:id="409350149">
      <w:bodyDiv w:val="1"/>
      <w:marLeft w:val="0"/>
      <w:marRight w:val="0"/>
      <w:marTop w:val="0"/>
      <w:marBottom w:val="0"/>
      <w:divBdr>
        <w:top w:val="none" w:sz="0" w:space="0" w:color="auto"/>
        <w:left w:val="none" w:sz="0" w:space="0" w:color="auto"/>
        <w:bottom w:val="none" w:sz="0" w:space="0" w:color="auto"/>
        <w:right w:val="none" w:sz="0" w:space="0" w:color="auto"/>
      </w:divBdr>
    </w:div>
    <w:div w:id="420563392">
      <w:bodyDiv w:val="1"/>
      <w:marLeft w:val="0"/>
      <w:marRight w:val="0"/>
      <w:marTop w:val="0"/>
      <w:marBottom w:val="0"/>
      <w:divBdr>
        <w:top w:val="none" w:sz="0" w:space="0" w:color="auto"/>
        <w:left w:val="none" w:sz="0" w:space="0" w:color="auto"/>
        <w:bottom w:val="none" w:sz="0" w:space="0" w:color="auto"/>
        <w:right w:val="none" w:sz="0" w:space="0" w:color="auto"/>
      </w:divBdr>
      <w:divsChild>
        <w:div w:id="2085563632">
          <w:marLeft w:val="0"/>
          <w:marRight w:val="0"/>
          <w:marTop w:val="0"/>
          <w:marBottom w:val="0"/>
          <w:divBdr>
            <w:top w:val="none" w:sz="0" w:space="0" w:color="auto"/>
            <w:left w:val="none" w:sz="0" w:space="0" w:color="auto"/>
            <w:bottom w:val="none" w:sz="0" w:space="0" w:color="auto"/>
            <w:right w:val="none" w:sz="0" w:space="0" w:color="auto"/>
          </w:divBdr>
          <w:divsChild>
            <w:div w:id="1135828974">
              <w:marLeft w:val="0"/>
              <w:marRight w:val="0"/>
              <w:marTop w:val="0"/>
              <w:marBottom w:val="0"/>
              <w:divBdr>
                <w:top w:val="none" w:sz="0" w:space="0" w:color="auto"/>
                <w:left w:val="none" w:sz="0" w:space="0" w:color="auto"/>
                <w:bottom w:val="none" w:sz="0" w:space="0" w:color="auto"/>
                <w:right w:val="none" w:sz="0" w:space="0" w:color="auto"/>
              </w:divBdr>
            </w:div>
            <w:div w:id="139238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197678">
      <w:bodyDiv w:val="1"/>
      <w:marLeft w:val="0"/>
      <w:marRight w:val="0"/>
      <w:marTop w:val="0"/>
      <w:marBottom w:val="0"/>
      <w:divBdr>
        <w:top w:val="none" w:sz="0" w:space="0" w:color="auto"/>
        <w:left w:val="none" w:sz="0" w:space="0" w:color="auto"/>
        <w:bottom w:val="none" w:sz="0" w:space="0" w:color="auto"/>
        <w:right w:val="none" w:sz="0" w:space="0" w:color="auto"/>
      </w:divBdr>
    </w:div>
    <w:div w:id="480468633">
      <w:bodyDiv w:val="1"/>
      <w:marLeft w:val="0"/>
      <w:marRight w:val="0"/>
      <w:marTop w:val="0"/>
      <w:marBottom w:val="0"/>
      <w:divBdr>
        <w:top w:val="none" w:sz="0" w:space="0" w:color="auto"/>
        <w:left w:val="none" w:sz="0" w:space="0" w:color="auto"/>
        <w:bottom w:val="none" w:sz="0" w:space="0" w:color="auto"/>
        <w:right w:val="none" w:sz="0" w:space="0" w:color="auto"/>
      </w:divBdr>
      <w:divsChild>
        <w:div w:id="2139758705">
          <w:marLeft w:val="0"/>
          <w:marRight w:val="0"/>
          <w:marTop w:val="0"/>
          <w:marBottom w:val="0"/>
          <w:divBdr>
            <w:top w:val="none" w:sz="0" w:space="0" w:color="auto"/>
            <w:left w:val="none" w:sz="0" w:space="0" w:color="auto"/>
            <w:bottom w:val="none" w:sz="0" w:space="0" w:color="auto"/>
            <w:right w:val="none" w:sz="0" w:space="0" w:color="auto"/>
          </w:divBdr>
          <w:divsChild>
            <w:div w:id="311447623">
              <w:marLeft w:val="0"/>
              <w:marRight w:val="0"/>
              <w:marTop w:val="0"/>
              <w:marBottom w:val="0"/>
              <w:divBdr>
                <w:top w:val="none" w:sz="0" w:space="0" w:color="auto"/>
                <w:left w:val="none" w:sz="0" w:space="0" w:color="auto"/>
                <w:bottom w:val="none" w:sz="0" w:space="0" w:color="auto"/>
                <w:right w:val="none" w:sz="0" w:space="0" w:color="auto"/>
              </w:divBdr>
            </w:div>
            <w:div w:id="136093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14275">
      <w:bodyDiv w:val="1"/>
      <w:marLeft w:val="0"/>
      <w:marRight w:val="0"/>
      <w:marTop w:val="0"/>
      <w:marBottom w:val="0"/>
      <w:divBdr>
        <w:top w:val="none" w:sz="0" w:space="0" w:color="auto"/>
        <w:left w:val="none" w:sz="0" w:space="0" w:color="auto"/>
        <w:bottom w:val="none" w:sz="0" w:space="0" w:color="auto"/>
        <w:right w:val="none" w:sz="0" w:space="0" w:color="auto"/>
      </w:divBdr>
      <w:divsChild>
        <w:div w:id="527332971">
          <w:marLeft w:val="0"/>
          <w:marRight w:val="0"/>
          <w:marTop w:val="0"/>
          <w:marBottom w:val="0"/>
          <w:divBdr>
            <w:top w:val="none" w:sz="0" w:space="0" w:color="auto"/>
            <w:left w:val="none" w:sz="0" w:space="0" w:color="auto"/>
            <w:bottom w:val="none" w:sz="0" w:space="0" w:color="auto"/>
            <w:right w:val="none" w:sz="0" w:space="0" w:color="auto"/>
          </w:divBdr>
        </w:div>
        <w:div w:id="412357932">
          <w:marLeft w:val="0"/>
          <w:marRight w:val="0"/>
          <w:marTop w:val="0"/>
          <w:marBottom w:val="0"/>
          <w:divBdr>
            <w:top w:val="none" w:sz="0" w:space="0" w:color="auto"/>
            <w:left w:val="none" w:sz="0" w:space="0" w:color="auto"/>
            <w:bottom w:val="none" w:sz="0" w:space="0" w:color="auto"/>
            <w:right w:val="none" w:sz="0" w:space="0" w:color="auto"/>
          </w:divBdr>
        </w:div>
        <w:div w:id="1039479415">
          <w:marLeft w:val="0"/>
          <w:marRight w:val="0"/>
          <w:marTop w:val="0"/>
          <w:marBottom w:val="0"/>
          <w:divBdr>
            <w:top w:val="none" w:sz="0" w:space="0" w:color="auto"/>
            <w:left w:val="none" w:sz="0" w:space="0" w:color="auto"/>
            <w:bottom w:val="none" w:sz="0" w:space="0" w:color="auto"/>
            <w:right w:val="none" w:sz="0" w:space="0" w:color="auto"/>
          </w:divBdr>
        </w:div>
      </w:divsChild>
    </w:div>
    <w:div w:id="490677668">
      <w:bodyDiv w:val="1"/>
      <w:marLeft w:val="0"/>
      <w:marRight w:val="0"/>
      <w:marTop w:val="0"/>
      <w:marBottom w:val="0"/>
      <w:divBdr>
        <w:top w:val="none" w:sz="0" w:space="0" w:color="auto"/>
        <w:left w:val="none" w:sz="0" w:space="0" w:color="auto"/>
        <w:bottom w:val="none" w:sz="0" w:space="0" w:color="auto"/>
        <w:right w:val="none" w:sz="0" w:space="0" w:color="auto"/>
      </w:divBdr>
      <w:divsChild>
        <w:div w:id="325130338">
          <w:marLeft w:val="0"/>
          <w:marRight w:val="0"/>
          <w:marTop w:val="0"/>
          <w:marBottom w:val="0"/>
          <w:divBdr>
            <w:top w:val="none" w:sz="0" w:space="0" w:color="auto"/>
            <w:left w:val="none" w:sz="0" w:space="0" w:color="auto"/>
            <w:bottom w:val="none" w:sz="0" w:space="0" w:color="auto"/>
            <w:right w:val="none" w:sz="0" w:space="0" w:color="auto"/>
          </w:divBdr>
        </w:div>
        <w:div w:id="1783376086">
          <w:marLeft w:val="0"/>
          <w:marRight w:val="0"/>
          <w:marTop w:val="0"/>
          <w:marBottom w:val="0"/>
          <w:divBdr>
            <w:top w:val="none" w:sz="0" w:space="0" w:color="auto"/>
            <w:left w:val="none" w:sz="0" w:space="0" w:color="auto"/>
            <w:bottom w:val="none" w:sz="0" w:space="0" w:color="auto"/>
            <w:right w:val="none" w:sz="0" w:space="0" w:color="auto"/>
          </w:divBdr>
        </w:div>
      </w:divsChild>
    </w:div>
    <w:div w:id="534849285">
      <w:bodyDiv w:val="1"/>
      <w:marLeft w:val="0"/>
      <w:marRight w:val="0"/>
      <w:marTop w:val="0"/>
      <w:marBottom w:val="0"/>
      <w:divBdr>
        <w:top w:val="none" w:sz="0" w:space="0" w:color="auto"/>
        <w:left w:val="none" w:sz="0" w:space="0" w:color="auto"/>
        <w:bottom w:val="none" w:sz="0" w:space="0" w:color="auto"/>
        <w:right w:val="none" w:sz="0" w:space="0" w:color="auto"/>
      </w:divBdr>
      <w:divsChild>
        <w:div w:id="1125545816">
          <w:marLeft w:val="0"/>
          <w:marRight w:val="0"/>
          <w:marTop w:val="0"/>
          <w:marBottom w:val="0"/>
          <w:divBdr>
            <w:top w:val="none" w:sz="0" w:space="0" w:color="auto"/>
            <w:left w:val="none" w:sz="0" w:space="0" w:color="auto"/>
            <w:bottom w:val="none" w:sz="0" w:space="0" w:color="auto"/>
            <w:right w:val="none" w:sz="0" w:space="0" w:color="auto"/>
          </w:divBdr>
          <w:divsChild>
            <w:div w:id="1717779767">
              <w:marLeft w:val="0"/>
              <w:marRight w:val="0"/>
              <w:marTop w:val="0"/>
              <w:marBottom w:val="0"/>
              <w:divBdr>
                <w:top w:val="none" w:sz="0" w:space="0" w:color="auto"/>
                <w:left w:val="none" w:sz="0" w:space="0" w:color="auto"/>
                <w:bottom w:val="none" w:sz="0" w:space="0" w:color="auto"/>
                <w:right w:val="none" w:sz="0" w:space="0" w:color="auto"/>
              </w:divBdr>
            </w:div>
            <w:div w:id="209658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741586">
      <w:bodyDiv w:val="1"/>
      <w:marLeft w:val="0"/>
      <w:marRight w:val="0"/>
      <w:marTop w:val="0"/>
      <w:marBottom w:val="0"/>
      <w:divBdr>
        <w:top w:val="none" w:sz="0" w:space="0" w:color="auto"/>
        <w:left w:val="none" w:sz="0" w:space="0" w:color="auto"/>
        <w:bottom w:val="none" w:sz="0" w:space="0" w:color="auto"/>
        <w:right w:val="none" w:sz="0" w:space="0" w:color="auto"/>
      </w:divBdr>
    </w:div>
    <w:div w:id="554394122">
      <w:bodyDiv w:val="1"/>
      <w:marLeft w:val="0"/>
      <w:marRight w:val="0"/>
      <w:marTop w:val="0"/>
      <w:marBottom w:val="0"/>
      <w:divBdr>
        <w:top w:val="none" w:sz="0" w:space="0" w:color="auto"/>
        <w:left w:val="none" w:sz="0" w:space="0" w:color="auto"/>
        <w:bottom w:val="none" w:sz="0" w:space="0" w:color="auto"/>
        <w:right w:val="none" w:sz="0" w:space="0" w:color="auto"/>
      </w:divBdr>
      <w:divsChild>
        <w:div w:id="1337611190">
          <w:marLeft w:val="0"/>
          <w:marRight w:val="0"/>
          <w:marTop w:val="0"/>
          <w:marBottom w:val="0"/>
          <w:divBdr>
            <w:top w:val="none" w:sz="0" w:space="0" w:color="auto"/>
            <w:left w:val="none" w:sz="0" w:space="0" w:color="auto"/>
            <w:bottom w:val="none" w:sz="0" w:space="0" w:color="auto"/>
            <w:right w:val="none" w:sz="0" w:space="0" w:color="auto"/>
          </w:divBdr>
          <w:divsChild>
            <w:div w:id="1684165818">
              <w:marLeft w:val="0"/>
              <w:marRight w:val="0"/>
              <w:marTop w:val="0"/>
              <w:marBottom w:val="0"/>
              <w:divBdr>
                <w:top w:val="none" w:sz="0" w:space="0" w:color="auto"/>
                <w:left w:val="none" w:sz="0" w:space="0" w:color="auto"/>
                <w:bottom w:val="none" w:sz="0" w:space="0" w:color="auto"/>
                <w:right w:val="none" w:sz="0" w:space="0" w:color="auto"/>
              </w:divBdr>
            </w:div>
            <w:div w:id="211847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991346">
      <w:bodyDiv w:val="1"/>
      <w:marLeft w:val="0"/>
      <w:marRight w:val="0"/>
      <w:marTop w:val="0"/>
      <w:marBottom w:val="0"/>
      <w:divBdr>
        <w:top w:val="none" w:sz="0" w:space="0" w:color="auto"/>
        <w:left w:val="none" w:sz="0" w:space="0" w:color="auto"/>
        <w:bottom w:val="none" w:sz="0" w:space="0" w:color="auto"/>
        <w:right w:val="none" w:sz="0" w:space="0" w:color="auto"/>
      </w:divBdr>
      <w:divsChild>
        <w:div w:id="738984721">
          <w:marLeft w:val="0"/>
          <w:marRight w:val="0"/>
          <w:marTop w:val="0"/>
          <w:marBottom w:val="0"/>
          <w:divBdr>
            <w:top w:val="none" w:sz="0" w:space="0" w:color="auto"/>
            <w:left w:val="none" w:sz="0" w:space="0" w:color="auto"/>
            <w:bottom w:val="none" w:sz="0" w:space="0" w:color="auto"/>
            <w:right w:val="none" w:sz="0" w:space="0" w:color="auto"/>
          </w:divBdr>
          <w:divsChild>
            <w:div w:id="1426653901">
              <w:marLeft w:val="0"/>
              <w:marRight w:val="0"/>
              <w:marTop w:val="0"/>
              <w:marBottom w:val="0"/>
              <w:divBdr>
                <w:top w:val="none" w:sz="0" w:space="0" w:color="auto"/>
                <w:left w:val="none" w:sz="0" w:space="0" w:color="auto"/>
                <w:bottom w:val="none" w:sz="0" w:space="0" w:color="auto"/>
                <w:right w:val="none" w:sz="0" w:space="0" w:color="auto"/>
              </w:divBdr>
            </w:div>
            <w:div w:id="23608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853649">
      <w:bodyDiv w:val="1"/>
      <w:marLeft w:val="0"/>
      <w:marRight w:val="0"/>
      <w:marTop w:val="0"/>
      <w:marBottom w:val="0"/>
      <w:divBdr>
        <w:top w:val="none" w:sz="0" w:space="0" w:color="auto"/>
        <w:left w:val="none" w:sz="0" w:space="0" w:color="auto"/>
        <w:bottom w:val="none" w:sz="0" w:space="0" w:color="auto"/>
        <w:right w:val="none" w:sz="0" w:space="0" w:color="auto"/>
      </w:divBdr>
      <w:divsChild>
        <w:div w:id="750009392">
          <w:marLeft w:val="0"/>
          <w:marRight w:val="0"/>
          <w:marTop w:val="0"/>
          <w:marBottom w:val="0"/>
          <w:divBdr>
            <w:top w:val="none" w:sz="0" w:space="0" w:color="auto"/>
            <w:left w:val="none" w:sz="0" w:space="0" w:color="auto"/>
            <w:bottom w:val="none" w:sz="0" w:space="0" w:color="auto"/>
            <w:right w:val="none" w:sz="0" w:space="0" w:color="auto"/>
          </w:divBdr>
        </w:div>
        <w:div w:id="264312159">
          <w:marLeft w:val="0"/>
          <w:marRight w:val="0"/>
          <w:marTop w:val="0"/>
          <w:marBottom w:val="0"/>
          <w:divBdr>
            <w:top w:val="none" w:sz="0" w:space="0" w:color="auto"/>
            <w:left w:val="none" w:sz="0" w:space="0" w:color="auto"/>
            <w:bottom w:val="none" w:sz="0" w:space="0" w:color="auto"/>
            <w:right w:val="none" w:sz="0" w:space="0" w:color="auto"/>
          </w:divBdr>
        </w:div>
        <w:div w:id="1999721449">
          <w:marLeft w:val="0"/>
          <w:marRight w:val="0"/>
          <w:marTop w:val="0"/>
          <w:marBottom w:val="0"/>
          <w:divBdr>
            <w:top w:val="none" w:sz="0" w:space="0" w:color="auto"/>
            <w:left w:val="none" w:sz="0" w:space="0" w:color="auto"/>
            <w:bottom w:val="none" w:sz="0" w:space="0" w:color="auto"/>
            <w:right w:val="none" w:sz="0" w:space="0" w:color="auto"/>
          </w:divBdr>
        </w:div>
      </w:divsChild>
    </w:div>
    <w:div w:id="579291030">
      <w:bodyDiv w:val="1"/>
      <w:marLeft w:val="0"/>
      <w:marRight w:val="0"/>
      <w:marTop w:val="0"/>
      <w:marBottom w:val="0"/>
      <w:divBdr>
        <w:top w:val="none" w:sz="0" w:space="0" w:color="auto"/>
        <w:left w:val="none" w:sz="0" w:space="0" w:color="auto"/>
        <w:bottom w:val="none" w:sz="0" w:space="0" w:color="auto"/>
        <w:right w:val="none" w:sz="0" w:space="0" w:color="auto"/>
      </w:divBdr>
    </w:div>
    <w:div w:id="581569583">
      <w:bodyDiv w:val="1"/>
      <w:marLeft w:val="0"/>
      <w:marRight w:val="0"/>
      <w:marTop w:val="0"/>
      <w:marBottom w:val="0"/>
      <w:divBdr>
        <w:top w:val="none" w:sz="0" w:space="0" w:color="auto"/>
        <w:left w:val="none" w:sz="0" w:space="0" w:color="auto"/>
        <w:bottom w:val="none" w:sz="0" w:space="0" w:color="auto"/>
        <w:right w:val="none" w:sz="0" w:space="0" w:color="auto"/>
      </w:divBdr>
      <w:divsChild>
        <w:div w:id="1581716185">
          <w:marLeft w:val="0"/>
          <w:marRight w:val="0"/>
          <w:marTop w:val="0"/>
          <w:marBottom w:val="0"/>
          <w:divBdr>
            <w:top w:val="none" w:sz="0" w:space="0" w:color="auto"/>
            <w:left w:val="none" w:sz="0" w:space="0" w:color="auto"/>
            <w:bottom w:val="none" w:sz="0" w:space="0" w:color="auto"/>
            <w:right w:val="none" w:sz="0" w:space="0" w:color="auto"/>
          </w:divBdr>
          <w:divsChild>
            <w:div w:id="1247493086">
              <w:marLeft w:val="0"/>
              <w:marRight w:val="0"/>
              <w:marTop w:val="0"/>
              <w:marBottom w:val="0"/>
              <w:divBdr>
                <w:top w:val="none" w:sz="0" w:space="0" w:color="auto"/>
                <w:left w:val="none" w:sz="0" w:space="0" w:color="auto"/>
                <w:bottom w:val="none" w:sz="0" w:space="0" w:color="auto"/>
                <w:right w:val="none" w:sz="0" w:space="0" w:color="auto"/>
              </w:divBdr>
            </w:div>
            <w:div w:id="118871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479763">
      <w:bodyDiv w:val="1"/>
      <w:marLeft w:val="0"/>
      <w:marRight w:val="0"/>
      <w:marTop w:val="0"/>
      <w:marBottom w:val="0"/>
      <w:divBdr>
        <w:top w:val="none" w:sz="0" w:space="0" w:color="auto"/>
        <w:left w:val="none" w:sz="0" w:space="0" w:color="auto"/>
        <w:bottom w:val="none" w:sz="0" w:space="0" w:color="auto"/>
        <w:right w:val="none" w:sz="0" w:space="0" w:color="auto"/>
      </w:divBdr>
      <w:divsChild>
        <w:div w:id="1593393295">
          <w:marLeft w:val="0"/>
          <w:marRight w:val="0"/>
          <w:marTop w:val="0"/>
          <w:marBottom w:val="0"/>
          <w:divBdr>
            <w:top w:val="none" w:sz="0" w:space="0" w:color="auto"/>
            <w:left w:val="none" w:sz="0" w:space="0" w:color="auto"/>
            <w:bottom w:val="none" w:sz="0" w:space="0" w:color="auto"/>
            <w:right w:val="none" w:sz="0" w:space="0" w:color="auto"/>
          </w:divBdr>
        </w:div>
        <w:div w:id="1344940096">
          <w:marLeft w:val="0"/>
          <w:marRight w:val="0"/>
          <w:marTop w:val="0"/>
          <w:marBottom w:val="0"/>
          <w:divBdr>
            <w:top w:val="none" w:sz="0" w:space="0" w:color="auto"/>
            <w:left w:val="none" w:sz="0" w:space="0" w:color="auto"/>
            <w:bottom w:val="none" w:sz="0" w:space="0" w:color="auto"/>
            <w:right w:val="none" w:sz="0" w:space="0" w:color="auto"/>
          </w:divBdr>
        </w:div>
        <w:div w:id="746804664">
          <w:marLeft w:val="0"/>
          <w:marRight w:val="0"/>
          <w:marTop w:val="0"/>
          <w:marBottom w:val="0"/>
          <w:divBdr>
            <w:top w:val="none" w:sz="0" w:space="0" w:color="auto"/>
            <w:left w:val="none" w:sz="0" w:space="0" w:color="auto"/>
            <w:bottom w:val="none" w:sz="0" w:space="0" w:color="auto"/>
            <w:right w:val="none" w:sz="0" w:space="0" w:color="auto"/>
          </w:divBdr>
        </w:div>
      </w:divsChild>
    </w:div>
    <w:div w:id="637607480">
      <w:bodyDiv w:val="1"/>
      <w:marLeft w:val="0"/>
      <w:marRight w:val="0"/>
      <w:marTop w:val="0"/>
      <w:marBottom w:val="0"/>
      <w:divBdr>
        <w:top w:val="none" w:sz="0" w:space="0" w:color="auto"/>
        <w:left w:val="none" w:sz="0" w:space="0" w:color="auto"/>
        <w:bottom w:val="none" w:sz="0" w:space="0" w:color="auto"/>
        <w:right w:val="none" w:sz="0" w:space="0" w:color="auto"/>
      </w:divBdr>
      <w:divsChild>
        <w:div w:id="1288122299">
          <w:marLeft w:val="0"/>
          <w:marRight w:val="0"/>
          <w:marTop w:val="0"/>
          <w:marBottom w:val="0"/>
          <w:divBdr>
            <w:top w:val="none" w:sz="0" w:space="0" w:color="auto"/>
            <w:left w:val="none" w:sz="0" w:space="0" w:color="auto"/>
            <w:bottom w:val="none" w:sz="0" w:space="0" w:color="auto"/>
            <w:right w:val="none" w:sz="0" w:space="0" w:color="auto"/>
          </w:divBdr>
          <w:divsChild>
            <w:div w:id="1058746746">
              <w:marLeft w:val="0"/>
              <w:marRight w:val="0"/>
              <w:marTop w:val="0"/>
              <w:marBottom w:val="0"/>
              <w:divBdr>
                <w:top w:val="none" w:sz="0" w:space="0" w:color="auto"/>
                <w:left w:val="none" w:sz="0" w:space="0" w:color="auto"/>
                <w:bottom w:val="none" w:sz="0" w:space="0" w:color="auto"/>
                <w:right w:val="none" w:sz="0" w:space="0" w:color="auto"/>
              </w:divBdr>
            </w:div>
            <w:div w:id="83410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658381">
      <w:bodyDiv w:val="1"/>
      <w:marLeft w:val="0"/>
      <w:marRight w:val="0"/>
      <w:marTop w:val="0"/>
      <w:marBottom w:val="0"/>
      <w:divBdr>
        <w:top w:val="none" w:sz="0" w:space="0" w:color="auto"/>
        <w:left w:val="none" w:sz="0" w:space="0" w:color="auto"/>
        <w:bottom w:val="none" w:sz="0" w:space="0" w:color="auto"/>
        <w:right w:val="none" w:sz="0" w:space="0" w:color="auto"/>
      </w:divBdr>
    </w:div>
    <w:div w:id="679241988">
      <w:bodyDiv w:val="1"/>
      <w:marLeft w:val="0"/>
      <w:marRight w:val="0"/>
      <w:marTop w:val="0"/>
      <w:marBottom w:val="0"/>
      <w:divBdr>
        <w:top w:val="none" w:sz="0" w:space="0" w:color="auto"/>
        <w:left w:val="none" w:sz="0" w:space="0" w:color="auto"/>
        <w:bottom w:val="none" w:sz="0" w:space="0" w:color="auto"/>
        <w:right w:val="none" w:sz="0" w:space="0" w:color="auto"/>
      </w:divBdr>
      <w:divsChild>
        <w:div w:id="31225295">
          <w:marLeft w:val="0"/>
          <w:marRight w:val="0"/>
          <w:marTop w:val="0"/>
          <w:marBottom w:val="0"/>
          <w:divBdr>
            <w:top w:val="none" w:sz="0" w:space="0" w:color="auto"/>
            <w:left w:val="none" w:sz="0" w:space="0" w:color="auto"/>
            <w:bottom w:val="none" w:sz="0" w:space="0" w:color="auto"/>
            <w:right w:val="none" w:sz="0" w:space="0" w:color="auto"/>
          </w:divBdr>
          <w:divsChild>
            <w:div w:id="643194265">
              <w:marLeft w:val="0"/>
              <w:marRight w:val="0"/>
              <w:marTop w:val="0"/>
              <w:marBottom w:val="0"/>
              <w:divBdr>
                <w:top w:val="none" w:sz="0" w:space="0" w:color="auto"/>
                <w:left w:val="none" w:sz="0" w:space="0" w:color="auto"/>
                <w:bottom w:val="none" w:sz="0" w:space="0" w:color="auto"/>
                <w:right w:val="none" w:sz="0" w:space="0" w:color="auto"/>
              </w:divBdr>
            </w:div>
            <w:div w:id="170367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575571">
      <w:bodyDiv w:val="1"/>
      <w:marLeft w:val="0"/>
      <w:marRight w:val="0"/>
      <w:marTop w:val="0"/>
      <w:marBottom w:val="0"/>
      <w:divBdr>
        <w:top w:val="none" w:sz="0" w:space="0" w:color="auto"/>
        <w:left w:val="none" w:sz="0" w:space="0" w:color="auto"/>
        <w:bottom w:val="none" w:sz="0" w:space="0" w:color="auto"/>
        <w:right w:val="none" w:sz="0" w:space="0" w:color="auto"/>
      </w:divBdr>
      <w:divsChild>
        <w:div w:id="918490892">
          <w:marLeft w:val="0"/>
          <w:marRight w:val="0"/>
          <w:marTop w:val="0"/>
          <w:marBottom w:val="75"/>
          <w:divBdr>
            <w:top w:val="none" w:sz="0" w:space="0" w:color="auto"/>
            <w:left w:val="none" w:sz="0" w:space="0" w:color="auto"/>
            <w:bottom w:val="none" w:sz="0" w:space="0" w:color="auto"/>
            <w:right w:val="none" w:sz="0" w:space="0" w:color="auto"/>
          </w:divBdr>
        </w:div>
        <w:div w:id="1056128392">
          <w:marLeft w:val="0"/>
          <w:marRight w:val="0"/>
          <w:marTop w:val="75"/>
          <w:marBottom w:val="0"/>
          <w:divBdr>
            <w:top w:val="none" w:sz="0" w:space="0" w:color="auto"/>
            <w:left w:val="none" w:sz="0" w:space="0" w:color="auto"/>
            <w:bottom w:val="none" w:sz="0" w:space="0" w:color="auto"/>
            <w:right w:val="none" w:sz="0" w:space="0" w:color="auto"/>
          </w:divBdr>
        </w:div>
      </w:divsChild>
    </w:div>
    <w:div w:id="703945379">
      <w:bodyDiv w:val="1"/>
      <w:marLeft w:val="0"/>
      <w:marRight w:val="0"/>
      <w:marTop w:val="0"/>
      <w:marBottom w:val="0"/>
      <w:divBdr>
        <w:top w:val="none" w:sz="0" w:space="0" w:color="auto"/>
        <w:left w:val="none" w:sz="0" w:space="0" w:color="auto"/>
        <w:bottom w:val="none" w:sz="0" w:space="0" w:color="auto"/>
        <w:right w:val="none" w:sz="0" w:space="0" w:color="auto"/>
      </w:divBdr>
      <w:divsChild>
        <w:div w:id="928124480">
          <w:marLeft w:val="0"/>
          <w:marRight w:val="0"/>
          <w:marTop w:val="0"/>
          <w:marBottom w:val="0"/>
          <w:divBdr>
            <w:top w:val="none" w:sz="0" w:space="0" w:color="auto"/>
            <w:left w:val="none" w:sz="0" w:space="0" w:color="auto"/>
            <w:bottom w:val="none" w:sz="0" w:space="0" w:color="auto"/>
            <w:right w:val="none" w:sz="0" w:space="0" w:color="auto"/>
          </w:divBdr>
          <w:divsChild>
            <w:div w:id="148912602">
              <w:marLeft w:val="0"/>
              <w:marRight w:val="0"/>
              <w:marTop w:val="0"/>
              <w:marBottom w:val="0"/>
              <w:divBdr>
                <w:top w:val="none" w:sz="0" w:space="0" w:color="auto"/>
                <w:left w:val="none" w:sz="0" w:space="0" w:color="auto"/>
                <w:bottom w:val="none" w:sz="0" w:space="0" w:color="auto"/>
                <w:right w:val="none" w:sz="0" w:space="0" w:color="auto"/>
              </w:divBdr>
            </w:div>
            <w:div w:id="178785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714979">
      <w:bodyDiv w:val="1"/>
      <w:marLeft w:val="0"/>
      <w:marRight w:val="0"/>
      <w:marTop w:val="0"/>
      <w:marBottom w:val="0"/>
      <w:divBdr>
        <w:top w:val="none" w:sz="0" w:space="0" w:color="auto"/>
        <w:left w:val="none" w:sz="0" w:space="0" w:color="auto"/>
        <w:bottom w:val="none" w:sz="0" w:space="0" w:color="auto"/>
        <w:right w:val="none" w:sz="0" w:space="0" w:color="auto"/>
      </w:divBdr>
      <w:divsChild>
        <w:div w:id="112291428">
          <w:marLeft w:val="0"/>
          <w:marRight w:val="0"/>
          <w:marTop w:val="0"/>
          <w:marBottom w:val="75"/>
          <w:divBdr>
            <w:top w:val="none" w:sz="0" w:space="0" w:color="auto"/>
            <w:left w:val="none" w:sz="0" w:space="0" w:color="auto"/>
            <w:bottom w:val="none" w:sz="0" w:space="0" w:color="auto"/>
            <w:right w:val="none" w:sz="0" w:space="0" w:color="auto"/>
          </w:divBdr>
        </w:div>
        <w:div w:id="546065809">
          <w:marLeft w:val="0"/>
          <w:marRight w:val="0"/>
          <w:marTop w:val="75"/>
          <w:marBottom w:val="0"/>
          <w:divBdr>
            <w:top w:val="none" w:sz="0" w:space="0" w:color="auto"/>
            <w:left w:val="none" w:sz="0" w:space="0" w:color="auto"/>
            <w:bottom w:val="none" w:sz="0" w:space="0" w:color="auto"/>
            <w:right w:val="none" w:sz="0" w:space="0" w:color="auto"/>
          </w:divBdr>
        </w:div>
        <w:div w:id="1217669839">
          <w:marLeft w:val="0"/>
          <w:marRight w:val="0"/>
          <w:marTop w:val="0"/>
          <w:marBottom w:val="75"/>
          <w:divBdr>
            <w:top w:val="none" w:sz="0" w:space="0" w:color="auto"/>
            <w:left w:val="none" w:sz="0" w:space="0" w:color="auto"/>
            <w:bottom w:val="none" w:sz="0" w:space="0" w:color="auto"/>
            <w:right w:val="none" w:sz="0" w:space="0" w:color="auto"/>
          </w:divBdr>
        </w:div>
        <w:div w:id="1912036804">
          <w:marLeft w:val="0"/>
          <w:marRight w:val="0"/>
          <w:marTop w:val="0"/>
          <w:marBottom w:val="0"/>
          <w:divBdr>
            <w:top w:val="none" w:sz="0" w:space="0" w:color="auto"/>
            <w:left w:val="none" w:sz="0" w:space="0" w:color="auto"/>
            <w:bottom w:val="none" w:sz="0" w:space="0" w:color="auto"/>
            <w:right w:val="none" w:sz="0" w:space="0" w:color="auto"/>
          </w:divBdr>
        </w:div>
        <w:div w:id="1465807477">
          <w:marLeft w:val="0"/>
          <w:marRight w:val="0"/>
          <w:marTop w:val="75"/>
          <w:marBottom w:val="0"/>
          <w:divBdr>
            <w:top w:val="none" w:sz="0" w:space="0" w:color="auto"/>
            <w:left w:val="none" w:sz="0" w:space="0" w:color="auto"/>
            <w:bottom w:val="none" w:sz="0" w:space="0" w:color="auto"/>
            <w:right w:val="none" w:sz="0" w:space="0" w:color="auto"/>
          </w:divBdr>
        </w:div>
      </w:divsChild>
    </w:div>
    <w:div w:id="705566832">
      <w:bodyDiv w:val="1"/>
      <w:marLeft w:val="0"/>
      <w:marRight w:val="0"/>
      <w:marTop w:val="0"/>
      <w:marBottom w:val="0"/>
      <w:divBdr>
        <w:top w:val="none" w:sz="0" w:space="0" w:color="auto"/>
        <w:left w:val="none" w:sz="0" w:space="0" w:color="auto"/>
        <w:bottom w:val="none" w:sz="0" w:space="0" w:color="auto"/>
        <w:right w:val="none" w:sz="0" w:space="0" w:color="auto"/>
      </w:divBdr>
      <w:divsChild>
        <w:div w:id="414400598">
          <w:marLeft w:val="0"/>
          <w:marRight w:val="0"/>
          <w:marTop w:val="0"/>
          <w:marBottom w:val="0"/>
          <w:divBdr>
            <w:top w:val="none" w:sz="0" w:space="0" w:color="auto"/>
            <w:left w:val="none" w:sz="0" w:space="0" w:color="auto"/>
            <w:bottom w:val="none" w:sz="0" w:space="0" w:color="auto"/>
            <w:right w:val="none" w:sz="0" w:space="0" w:color="auto"/>
          </w:divBdr>
        </w:div>
        <w:div w:id="1105923703">
          <w:marLeft w:val="0"/>
          <w:marRight w:val="0"/>
          <w:marTop w:val="0"/>
          <w:marBottom w:val="0"/>
          <w:divBdr>
            <w:top w:val="none" w:sz="0" w:space="0" w:color="auto"/>
            <w:left w:val="none" w:sz="0" w:space="0" w:color="auto"/>
            <w:bottom w:val="none" w:sz="0" w:space="0" w:color="auto"/>
            <w:right w:val="none" w:sz="0" w:space="0" w:color="auto"/>
          </w:divBdr>
        </w:div>
        <w:div w:id="2006736523">
          <w:marLeft w:val="0"/>
          <w:marRight w:val="0"/>
          <w:marTop w:val="0"/>
          <w:marBottom w:val="0"/>
          <w:divBdr>
            <w:top w:val="none" w:sz="0" w:space="0" w:color="auto"/>
            <w:left w:val="none" w:sz="0" w:space="0" w:color="auto"/>
            <w:bottom w:val="none" w:sz="0" w:space="0" w:color="auto"/>
            <w:right w:val="none" w:sz="0" w:space="0" w:color="auto"/>
          </w:divBdr>
        </w:div>
      </w:divsChild>
    </w:div>
    <w:div w:id="717318428">
      <w:bodyDiv w:val="1"/>
      <w:marLeft w:val="0"/>
      <w:marRight w:val="0"/>
      <w:marTop w:val="0"/>
      <w:marBottom w:val="0"/>
      <w:divBdr>
        <w:top w:val="none" w:sz="0" w:space="0" w:color="auto"/>
        <w:left w:val="none" w:sz="0" w:space="0" w:color="auto"/>
        <w:bottom w:val="none" w:sz="0" w:space="0" w:color="auto"/>
        <w:right w:val="none" w:sz="0" w:space="0" w:color="auto"/>
      </w:divBdr>
      <w:divsChild>
        <w:div w:id="991907429">
          <w:marLeft w:val="0"/>
          <w:marRight w:val="0"/>
          <w:marTop w:val="0"/>
          <w:marBottom w:val="0"/>
          <w:divBdr>
            <w:top w:val="none" w:sz="0" w:space="0" w:color="auto"/>
            <w:left w:val="none" w:sz="0" w:space="0" w:color="auto"/>
            <w:bottom w:val="none" w:sz="0" w:space="0" w:color="auto"/>
            <w:right w:val="none" w:sz="0" w:space="0" w:color="auto"/>
          </w:divBdr>
          <w:divsChild>
            <w:div w:id="689111649">
              <w:marLeft w:val="0"/>
              <w:marRight w:val="0"/>
              <w:marTop w:val="0"/>
              <w:marBottom w:val="0"/>
              <w:divBdr>
                <w:top w:val="none" w:sz="0" w:space="0" w:color="auto"/>
                <w:left w:val="none" w:sz="0" w:space="0" w:color="auto"/>
                <w:bottom w:val="none" w:sz="0" w:space="0" w:color="auto"/>
                <w:right w:val="none" w:sz="0" w:space="0" w:color="auto"/>
              </w:divBdr>
            </w:div>
            <w:div w:id="133591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8151">
      <w:bodyDiv w:val="1"/>
      <w:marLeft w:val="0"/>
      <w:marRight w:val="0"/>
      <w:marTop w:val="0"/>
      <w:marBottom w:val="0"/>
      <w:divBdr>
        <w:top w:val="none" w:sz="0" w:space="0" w:color="auto"/>
        <w:left w:val="none" w:sz="0" w:space="0" w:color="auto"/>
        <w:bottom w:val="none" w:sz="0" w:space="0" w:color="auto"/>
        <w:right w:val="none" w:sz="0" w:space="0" w:color="auto"/>
      </w:divBdr>
      <w:divsChild>
        <w:div w:id="1617635663">
          <w:marLeft w:val="0"/>
          <w:marRight w:val="0"/>
          <w:marTop w:val="0"/>
          <w:marBottom w:val="75"/>
          <w:divBdr>
            <w:top w:val="none" w:sz="0" w:space="0" w:color="auto"/>
            <w:left w:val="none" w:sz="0" w:space="0" w:color="auto"/>
            <w:bottom w:val="none" w:sz="0" w:space="0" w:color="auto"/>
            <w:right w:val="none" w:sz="0" w:space="0" w:color="auto"/>
          </w:divBdr>
        </w:div>
        <w:div w:id="1504248957">
          <w:marLeft w:val="0"/>
          <w:marRight w:val="0"/>
          <w:marTop w:val="75"/>
          <w:marBottom w:val="0"/>
          <w:divBdr>
            <w:top w:val="none" w:sz="0" w:space="0" w:color="auto"/>
            <w:left w:val="none" w:sz="0" w:space="0" w:color="auto"/>
            <w:bottom w:val="none" w:sz="0" w:space="0" w:color="auto"/>
            <w:right w:val="none" w:sz="0" w:space="0" w:color="auto"/>
          </w:divBdr>
        </w:div>
      </w:divsChild>
    </w:div>
    <w:div w:id="733704440">
      <w:bodyDiv w:val="1"/>
      <w:marLeft w:val="0"/>
      <w:marRight w:val="0"/>
      <w:marTop w:val="0"/>
      <w:marBottom w:val="0"/>
      <w:divBdr>
        <w:top w:val="none" w:sz="0" w:space="0" w:color="auto"/>
        <w:left w:val="none" w:sz="0" w:space="0" w:color="auto"/>
        <w:bottom w:val="none" w:sz="0" w:space="0" w:color="auto"/>
        <w:right w:val="none" w:sz="0" w:space="0" w:color="auto"/>
      </w:divBdr>
      <w:divsChild>
        <w:div w:id="269317362">
          <w:marLeft w:val="0"/>
          <w:marRight w:val="0"/>
          <w:marTop w:val="0"/>
          <w:marBottom w:val="0"/>
          <w:divBdr>
            <w:top w:val="none" w:sz="0" w:space="0" w:color="auto"/>
            <w:left w:val="none" w:sz="0" w:space="0" w:color="auto"/>
            <w:bottom w:val="none" w:sz="0" w:space="0" w:color="auto"/>
            <w:right w:val="none" w:sz="0" w:space="0" w:color="auto"/>
          </w:divBdr>
          <w:divsChild>
            <w:div w:id="529493524">
              <w:marLeft w:val="0"/>
              <w:marRight w:val="0"/>
              <w:marTop w:val="0"/>
              <w:marBottom w:val="0"/>
              <w:divBdr>
                <w:top w:val="none" w:sz="0" w:space="0" w:color="auto"/>
                <w:left w:val="none" w:sz="0" w:space="0" w:color="auto"/>
                <w:bottom w:val="none" w:sz="0" w:space="0" w:color="auto"/>
                <w:right w:val="none" w:sz="0" w:space="0" w:color="auto"/>
              </w:divBdr>
            </w:div>
            <w:div w:id="304823034">
              <w:marLeft w:val="0"/>
              <w:marRight w:val="0"/>
              <w:marTop w:val="0"/>
              <w:marBottom w:val="0"/>
              <w:divBdr>
                <w:top w:val="none" w:sz="0" w:space="0" w:color="auto"/>
                <w:left w:val="none" w:sz="0" w:space="0" w:color="auto"/>
                <w:bottom w:val="none" w:sz="0" w:space="0" w:color="auto"/>
                <w:right w:val="none" w:sz="0" w:space="0" w:color="auto"/>
              </w:divBdr>
            </w:div>
          </w:divsChild>
        </w:div>
        <w:div w:id="304314844">
          <w:marLeft w:val="0"/>
          <w:marRight w:val="0"/>
          <w:marTop w:val="0"/>
          <w:marBottom w:val="450"/>
          <w:divBdr>
            <w:top w:val="none" w:sz="0" w:space="0" w:color="auto"/>
            <w:left w:val="none" w:sz="0" w:space="0" w:color="auto"/>
            <w:bottom w:val="none" w:sz="0" w:space="0" w:color="auto"/>
            <w:right w:val="none" w:sz="0" w:space="0" w:color="auto"/>
          </w:divBdr>
        </w:div>
        <w:div w:id="2065831358">
          <w:marLeft w:val="0"/>
          <w:marRight w:val="0"/>
          <w:marTop w:val="0"/>
          <w:marBottom w:val="0"/>
          <w:divBdr>
            <w:top w:val="none" w:sz="0" w:space="0" w:color="auto"/>
            <w:left w:val="none" w:sz="0" w:space="0" w:color="auto"/>
            <w:bottom w:val="none" w:sz="0" w:space="0" w:color="auto"/>
            <w:right w:val="none" w:sz="0" w:space="0" w:color="auto"/>
          </w:divBdr>
          <w:divsChild>
            <w:div w:id="602230394">
              <w:marLeft w:val="0"/>
              <w:marRight w:val="0"/>
              <w:marTop w:val="0"/>
              <w:marBottom w:val="0"/>
              <w:divBdr>
                <w:top w:val="none" w:sz="0" w:space="0" w:color="auto"/>
                <w:left w:val="none" w:sz="0" w:space="0" w:color="auto"/>
                <w:bottom w:val="none" w:sz="0" w:space="0" w:color="auto"/>
                <w:right w:val="none" w:sz="0" w:space="0" w:color="auto"/>
              </w:divBdr>
            </w:div>
            <w:div w:id="88448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523318">
      <w:bodyDiv w:val="1"/>
      <w:marLeft w:val="0"/>
      <w:marRight w:val="0"/>
      <w:marTop w:val="0"/>
      <w:marBottom w:val="0"/>
      <w:divBdr>
        <w:top w:val="none" w:sz="0" w:space="0" w:color="auto"/>
        <w:left w:val="none" w:sz="0" w:space="0" w:color="auto"/>
        <w:bottom w:val="none" w:sz="0" w:space="0" w:color="auto"/>
        <w:right w:val="none" w:sz="0" w:space="0" w:color="auto"/>
      </w:divBdr>
      <w:divsChild>
        <w:div w:id="126558977">
          <w:marLeft w:val="0"/>
          <w:marRight w:val="0"/>
          <w:marTop w:val="0"/>
          <w:marBottom w:val="0"/>
          <w:divBdr>
            <w:top w:val="none" w:sz="0" w:space="0" w:color="auto"/>
            <w:left w:val="none" w:sz="0" w:space="0" w:color="auto"/>
            <w:bottom w:val="none" w:sz="0" w:space="0" w:color="auto"/>
            <w:right w:val="none" w:sz="0" w:space="0" w:color="auto"/>
          </w:divBdr>
        </w:div>
        <w:div w:id="1977878726">
          <w:marLeft w:val="0"/>
          <w:marRight w:val="0"/>
          <w:marTop w:val="0"/>
          <w:marBottom w:val="0"/>
          <w:divBdr>
            <w:top w:val="none" w:sz="0" w:space="0" w:color="auto"/>
            <w:left w:val="none" w:sz="0" w:space="0" w:color="auto"/>
            <w:bottom w:val="none" w:sz="0" w:space="0" w:color="auto"/>
            <w:right w:val="none" w:sz="0" w:space="0" w:color="auto"/>
          </w:divBdr>
        </w:div>
        <w:div w:id="718167271">
          <w:marLeft w:val="0"/>
          <w:marRight w:val="0"/>
          <w:marTop w:val="0"/>
          <w:marBottom w:val="0"/>
          <w:divBdr>
            <w:top w:val="none" w:sz="0" w:space="0" w:color="auto"/>
            <w:left w:val="none" w:sz="0" w:space="0" w:color="auto"/>
            <w:bottom w:val="none" w:sz="0" w:space="0" w:color="auto"/>
            <w:right w:val="none" w:sz="0" w:space="0" w:color="auto"/>
          </w:divBdr>
        </w:div>
      </w:divsChild>
    </w:div>
    <w:div w:id="777405983">
      <w:bodyDiv w:val="1"/>
      <w:marLeft w:val="0"/>
      <w:marRight w:val="0"/>
      <w:marTop w:val="0"/>
      <w:marBottom w:val="0"/>
      <w:divBdr>
        <w:top w:val="none" w:sz="0" w:space="0" w:color="auto"/>
        <w:left w:val="none" w:sz="0" w:space="0" w:color="auto"/>
        <w:bottom w:val="none" w:sz="0" w:space="0" w:color="auto"/>
        <w:right w:val="none" w:sz="0" w:space="0" w:color="auto"/>
      </w:divBdr>
      <w:divsChild>
        <w:div w:id="1532918640">
          <w:marLeft w:val="0"/>
          <w:marRight w:val="0"/>
          <w:marTop w:val="0"/>
          <w:marBottom w:val="0"/>
          <w:divBdr>
            <w:top w:val="none" w:sz="0" w:space="0" w:color="auto"/>
            <w:left w:val="none" w:sz="0" w:space="0" w:color="auto"/>
            <w:bottom w:val="none" w:sz="0" w:space="0" w:color="auto"/>
            <w:right w:val="none" w:sz="0" w:space="0" w:color="auto"/>
          </w:divBdr>
          <w:divsChild>
            <w:div w:id="1552418469">
              <w:marLeft w:val="0"/>
              <w:marRight w:val="0"/>
              <w:marTop w:val="0"/>
              <w:marBottom w:val="0"/>
              <w:divBdr>
                <w:top w:val="none" w:sz="0" w:space="0" w:color="auto"/>
                <w:left w:val="none" w:sz="0" w:space="0" w:color="auto"/>
                <w:bottom w:val="none" w:sz="0" w:space="0" w:color="auto"/>
                <w:right w:val="none" w:sz="0" w:space="0" w:color="auto"/>
              </w:divBdr>
            </w:div>
            <w:div w:id="22872697">
              <w:marLeft w:val="0"/>
              <w:marRight w:val="0"/>
              <w:marTop w:val="0"/>
              <w:marBottom w:val="0"/>
              <w:divBdr>
                <w:top w:val="none" w:sz="0" w:space="0" w:color="auto"/>
                <w:left w:val="none" w:sz="0" w:space="0" w:color="auto"/>
                <w:bottom w:val="none" w:sz="0" w:space="0" w:color="auto"/>
                <w:right w:val="none" w:sz="0" w:space="0" w:color="auto"/>
              </w:divBdr>
            </w:div>
          </w:divsChild>
        </w:div>
        <w:div w:id="832143317">
          <w:marLeft w:val="0"/>
          <w:marRight w:val="0"/>
          <w:marTop w:val="0"/>
          <w:marBottom w:val="0"/>
          <w:divBdr>
            <w:top w:val="none" w:sz="0" w:space="0" w:color="auto"/>
            <w:left w:val="none" w:sz="0" w:space="0" w:color="auto"/>
            <w:bottom w:val="none" w:sz="0" w:space="0" w:color="auto"/>
            <w:right w:val="none" w:sz="0" w:space="0" w:color="auto"/>
          </w:divBdr>
          <w:divsChild>
            <w:div w:id="321088233">
              <w:marLeft w:val="0"/>
              <w:marRight w:val="0"/>
              <w:marTop w:val="0"/>
              <w:marBottom w:val="0"/>
              <w:divBdr>
                <w:top w:val="none" w:sz="0" w:space="0" w:color="auto"/>
                <w:left w:val="none" w:sz="0" w:space="0" w:color="auto"/>
                <w:bottom w:val="none" w:sz="0" w:space="0" w:color="auto"/>
                <w:right w:val="none" w:sz="0" w:space="0" w:color="auto"/>
              </w:divBdr>
            </w:div>
            <w:div w:id="2356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4968">
      <w:bodyDiv w:val="1"/>
      <w:marLeft w:val="0"/>
      <w:marRight w:val="0"/>
      <w:marTop w:val="0"/>
      <w:marBottom w:val="0"/>
      <w:divBdr>
        <w:top w:val="none" w:sz="0" w:space="0" w:color="auto"/>
        <w:left w:val="none" w:sz="0" w:space="0" w:color="auto"/>
        <w:bottom w:val="none" w:sz="0" w:space="0" w:color="auto"/>
        <w:right w:val="none" w:sz="0" w:space="0" w:color="auto"/>
      </w:divBdr>
      <w:divsChild>
        <w:div w:id="800416842">
          <w:marLeft w:val="0"/>
          <w:marRight w:val="0"/>
          <w:marTop w:val="0"/>
          <w:marBottom w:val="450"/>
          <w:divBdr>
            <w:top w:val="none" w:sz="0" w:space="0" w:color="auto"/>
            <w:left w:val="none" w:sz="0" w:space="0" w:color="auto"/>
            <w:bottom w:val="none" w:sz="0" w:space="0" w:color="auto"/>
            <w:right w:val="none" w:sz="0" w:space="0" w:color="auto"/>
          </w:divBdr>
        </w:div>
        <w:div w:id="68113161">
          <w:marLeft w:val="0"/>
          <w:marRight w:val="0"/>
          <w:marTop w:val="0"/>
          <w:marBottom w:val="75"/>
          <w:divBdr>
            <w:top w:val="none" w:sz="0" w:space="0" w:color="auto"/>
            <w:left w:val="none" w:sz="0" w:space="0" w:color="auto"/>
            <w:bottom w:val="none" w:sz="0" w:space="0" w:color="auto"/>
            <w:right w:val="none" w:sz="0" w:space="0" w:color="auto"/>
          </w:divBdr>
        </w:div>
        <w:div w:id="304965865">
          <w:marLeft w:val="0"/>
          <w:marRight w:val="0"/>
          <w:marTop w:val="75"/>
          <w:marBottom w:val="0"/>
          <w:divBdr>
            <w:top w:val="none" w:sz="0" w:space="0" w:color="auto"/>
            <w:left w:val="none" w:sz="0" w:space="0" w:color="auto"/>
            <w:bottom w:val="none" w:sz="0" w:space="0" w:color="auto"/>
            <w:right w:val="none" w:sz="0" w:space="0" w:color="auto"/>
          </w:divBdr>
        </w:div>
        <w:div w:id="1654137929">
          <w:marLeft w:val="0"/>
          <w:marRight w:val="0"/>
          <w:marTop w:val="0"/>
          <w:marBottom w:val="75"/>
          <w:divBdr>
            <w:top w:val="none" w:sz="0" w:space="0" w:color="auto"/>
            <w:left w:val="none" w:sz="0" w:space="0" w:color="auto"/>
            <w:bottom w:val="none" w:sz="0" w:space="0" w:color="auto"/>
            <w:right w:val="none" w:sz="0" w:space="0" w:color="auto"/>
          </w:divBdr>
        </w:div>
        <w:div w:id="602109458">
          <w:marLeft w:val="0"/>
          <w:marRight w:val="0"/>
          <w:marTop w:val="75"/>
          <w:marBottom w:val="0"/>
          <w:divBdr>
            <w:top w:val="none" w:sz="0" w:space="0" w:color="auto"/>
            <w:left w:val="none" w:sz="0" w:space="0" w:color="auto"/>
            <w:bottom w:val="none" w:sz="0" w:space="0" w:color="auto"/>
            <w:right w:val="none" w:sz="0" w:space="0" w:color="auto"/>
          </w:divBdr>
        </w:div>
        <w:div w:id="791366224">
          <w:marLeft w:val="0"/>
          <w:marRight w:val="0"/>
          <w:marTop w:val="0"/>
          <w:marBottom w:val="75"/>
          <w:divBdr>
            <w:top w:val="none" w:sz="0" w:space="0" w:color="auto"/>
            <w:left w:val="none" w:sz="0" w:space="0" w:color="auto"/>
            <w:bottom w:val="none" w:sz="0" w:space="0" w:color="auto"/>
            <w:right w:val="none" w:sz="0" w:space="0" w:color="auto"/>
          </w:divBdr>
        </w:div>
        <w:div w:id="260144438">
          <w:marLeft w:val="0"/>
          <w:marRight w:val="0"/>
          <w:marTop w:val="75"/>
          <w:marBottom w:val="0"/>
          <w:divBdr>
            <w:top w:val="none" w:sz="0" w:space="0" w:color="auto"/>
            <w:left w:val="none" w:sz="0" w:space="0" w:color="auto"/>
            <w:bottom w:val="none" w:sz="0" w:space="0" w:color="auto"/>
            <w:right w:val="none" w:sz="0" w:space="0" w:color="auto"/>
          </w:divBdr>
        </w:div>
      </w:divsChild>
    </w:div>
    <w:div w:id="795833875">
      <w:bodyDiv w:val="1"/>
      <w:marLeft w:val="0"/>
      <w:marRight w:val="0"/>
      <w:marTop w:val="0"/>
      <w:marBottom w:val="0"/>
      <w:divBdr>
        <w:top w:val="none" w:sz="0" w:space="0" w:color="auto"/>
        <w:left w:val="none" w:sz="0" w:space="0" w:color="auto"/>
        <w:bottom w:val="none" w:sz="0" w:space="0" w:color="auto"/>
        <w:right w:val="none" w:sz="0" w:space="0" w:color="auto"/>
      </w:divBdr>
      <w:divsChild>
        <w:div w:id="365763927">
          <w:marLeft w:val="0"/>
          <w:marRight w:val="0"/>
          <w:marTop w:val="0"/>
          <w:marBottom w:val="0"/>
          <w:divBdr>
            <w:top w:val="none" w:sz="0" w:space="0" w:color="auto"/>
            <w:left w:val="none" w:sz="0" w:space="0" w:color="auto"/>
            <w:bottom w:val="none" w:sz="0" w:space="0" w:color="auto"/>
            <w:right w:val="none" w:sz="0" w:space="0" w:color="auto"/>
          </w:divBdr>
        </w:div>
      </w:divsChild>
    </w:div>
    <w:div w:id="811865647">
      <w:bodyDiv w:val="1"/>
      <w:marLeft w:val="0"/>
      <w:marRight w:val="0"/>
      <w:marTop w:val="0"/>
      <w:marBottom w:val="0"/>
      <w:divBdr>
        <w:top w:val="none" w:sz="0" w:space="0" w:color="auto"/>
        <w:left w:val="none" w:sz="0" w:space="0" w:color="auto"/>
        <w:bottom w:val="none" w:sz="0" w:space="0" w:color="auto"/>
        <w:right w:val="none" w:sz="0" w:space="0" w:color="auto"/>
      </w:divBdr>
      <w:divsChild>
        <w:div w:id="1591935985">
          <w:marLeft w:val="0"/>
          <w:marRight w:val="0"/>
          <w:marTop w:val="0"/>
          <w:marBottom w:val="0"/>
          <w:divBdr>
            <w:top w:val="none" w:sz="0" w:space="0" w:color="auto"/>
            <w:left w:val="none" w:sz="0" w:space="0" w:color="auto"/>
            <w:bottom w:val="none" w:sz="0" w:space="0" w:color="auto"/>
            <w:right w:val="none" w:sz="0" w:space="0" w:color="auto"/>
          </w:divBdr>
          <w:divsChild>
            <w:div w:id="1450973557">
              <w:marLeft w:val="0"/>
              <w:marRight w:val="0"/>
              <w:marTop w:val="0"/>
              <w:marBottom w:val="0"/>
              <w:divBdr>
                <w:top w:val="none" w:sz="0" w:space="0" w:color="auto"/>
                <w:left w:val="none" w:sz="0" w:space="0" w:color="auto"/>
                <w:bottom w:val="none" w:sz="0" w:space="0" w:color="auto"/>
                <w:right w:val="none" w:sz="0" w:space="0" w:color="auto"/>
              </w:divBdr>
            </w:div>
            <w:div w:id="61926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129618">
      <w:bodyDiv w:val="1"/>
      <w:marLeft w:val="0"/>
      <w:marRight w:val="0"/>
      <w:marTop w:val="0"/>
      <w:marBottom w:val="0"/>
      <w:divBdr>
        <w:top w:val="none" w:sz="0" w:space="0" w:color="auto"/>
        <w:left w:val="none" w:sz="0" w:space="0" w:color="auto"/>
        <w:bottom w:val="none" w:sz="0" w:space="0" w:color="auto"/>
        <w:right w:val="none" w:sz="0" w:space="0" w:color="auto"/>
      </w:divBdr>
      <w:divsChild>
        <w:div w:id="1709800000">
          <w:marLeft w:val="0"/>
          <w:marRight w:val="0"/>
          <w:marTop w:val="0"/>
          <w:marBottom w:val="450"/>
          <w:divBdr>
            <w:top w:val="none" w:sz="0" w:space="0" w:color="auto"/>
            <w:left w:val="none" w:sz="0" w:space="0" w:color="auto"/>
            <w:bottom w:val="none" w:sz="0" w:space="0" w:color="auto"/>
            <w:right w:val="none" w:sz="0" w:space="0" w:color="auto"/>
          </w:divBdr>
        </w:div>
        <w:div w:id="358287768">
          <w:marLeft w:val="0"/>
          <w:marRight w:val="0"/>
          <w:marTop w:val="0"/>
          <w:marBottom w:val="0"/>
          <w:divBdr>
            <w:top w:val="none" w:sz="0" w:space="0" w:color="auto"/>
            <w:left w:val="none" w:sz="0" w:space="0" w:color="auto"/>
            <w:bottom w:val="none" w:sz="0" w:space="0" w:color="auto"/>
            <w:right w:val="none" w:sz="0" w:space="0" w:color="auto"/>
          </w:divBdr>
        </w:div>
        <w:div w:id="501967149">
          <w:marLeft w:val="0"/>
          <w:marRight w:val="0"/>
          <w:marTop w:val="0"/>
          <w:marBottom w:val="0"/>
          <w:divBdr>
            <w:top w:val="none" w:sz="0" w:space="0" w:color="auto"/>
            <w:left w:val="none" w:sz="0" w:space="0" w:color="auto"/>
            <w:bottom w:val="none" w:sz="0" w:space="0" w:color="auto"/>
            <w:right w:val="none" w:sz="0" w:space="0" w:color="auto"/>
          </w:divBdr>
        </w:div>
        <w:div w:id="2057390363">
          <w:marLeft w:val="0"/>
          <w:marRight w:val="0"/>
          <w:marTop w:val="0"/>
          <w:marBottom w:val="0"/>
          <w:divBdr>
            <w:top w:val="none" w:sz="0" w:space="0" w:color="auto"/>
            <w:left w:val="none" w:sz="0" w:space="0" w:color="auto"/>
            <w:bottom w:val="none" w:sz="0" w:space="0" w:color="auto"/>
            <w:right w:val="none" w:sz="0" w:space="0" w:color="auto"/>
          </w:divBdr>
        </w:div>
      </w:divsChild>
    </w:div>
    <w:div w:id="830681918">
      <w:bodyDiv w:val="1"/>
      <w:marLeft w:val="0"/>
      <w:marRight w:val="0"/>
      <w:marTop w:val="0"/>
      <w:marBottom w:val="0"/>
      <w:divBdr>
        <w:top w:val="none" w:sz="0" w:space="0" w:color="auto"/>
        <w:left w:val="none" w:sz="0" w:space="0" w:color="auto"/>
        <w:bottom w:val="none" w:sz="0" w:space="0" w:color="auto"/>
        <w:right w:val="none" w:sz="0" w:space="0" w:color="auto"/>
      </w:divBdr>
      <w:divsChild>
        <w:div w:id="320889801">
          <w:marLeft w:val="0"/>
          <w:marRight w:val="0"/>
          <w:marTop w:val="0"/>
          <w:marBottom w:val="0"/>
          <w:divBdr>
            <w:top w:val="none" w:sz="0" w:space="0" w:color="auto"/>
            <w:left w:val="none" w:sz="0" w:space="0" w:color="auto"/>
            <w:bottom w:val="none" w:sz="0" w:space="0" w:color="auto"/>
            <w:right w:val="none" w:sz="0" w:space="0" w:color="auto"/>
          </w:divBdr>
        </w:div>
      </w:divsChild>
    </w:div>
    <w:div w:id="832062978">
      <w:bodyDiv w:val="1"/>
      <w:marLeft w:val="0"/>
      <w:marRight w:val="0"/>
      <w:marTop w:val="0"/>
      <w:marBottom w:val="0"/>
      <w:divBdr>
        <w:top w:val="none" w:sz="0" w:space="0" w:color="auto"/>
        <w:left w:val="none" w:sz="0" w:space="0" w:color="auto"/>
        <w:bottom w:val="none" w:sz="0" w:space="0" w:color="auto"/>
        <w:right w:val="none" w:sz="0" w:space="0" w:color="auto"/>
      </w:divBdr>
      <w:divsChild>
        <w:div w:id="14501309">
          <w:marLeft w:val="0"/>
          <w:marRight w:val="0"/>
          <w:marTop w:val="0"/>
          <w:marBottom w:val="75"/>
          <w:divBdr>
            <w:top w:val="none" w:sz="0" w:space="0" w:color="auto"/>
            <w:left w:val="none" w:sz="0" w:space="0" w:color="auto"/>
            <w:bottom w:val="none" w:sz="0" w:space="0" w:color="auto"/>
            <w:right w:val="none" w:sz="0" w:space="0" w:color="auto"/>
          </w:divBdr>
        </w:div>
        <w:div w:id="2126650569">
          <w:marLeft w:val="0"/>
          <w:marRight w:val="0"/>
          <w:marTop w:val="75"/>
          <w:marBottom w:val="0"/>
          <w:divBdr>
            <w:top w:val="none" w:sz="0" w:space="0" w:color="auto"/>
            <w:left w:val="none" w:sz="0" w:space="0" w:color="auto"/>
            <w:bottom w:val="none" w:sz="0" w:space="0" w:color="auto"/>
            <w:right w:val="none" w:sz="0" w:space="0" w:color="auto"/>
          </w:divBdr>
        </w:div>
        <w:div w:id="1850410042">
          <w:marLeft w:val="0"/>
          <w:marRight w:val="0"/>
          <w:marTop w:val="0"/>
          <w:marBottom w:val="0"/>
          <w:divBdr>
            <w:top w:val="none" w:sz="0" w:space="0" w:color="auto"/>
            <w:left w:val="none" w:sz="0" w:space="0" w:color="auto"/>
            <w:bottom w:val="none" w:sz="0" w:space="0" w:color="auto"/>
            <w:right w:val="none" w:sz="0" w:space="0" w:color="auto"/>
          </w:divBdr>
        </w:div>
        <w:div w:id="1054086221">
          <w:marLeft w:val="0"/>
          <w:marRight w:val="0"/>
          <w:marTop w:val="0"/>
          <w:marBottom w:val="450"/>
          <w:divBdr>
            <w:top w:val="none" w:sz="0" w:space="0" w:color="auto"/>
            <w:left w:val="none" w:sz="0" w:space="0" w:color="auto"/>
            <w:bottom w:val="none" w:sz="0" w:space="0" w:color="auto"/>
            <w:right w:val="none" w:sz="0" w:space="0" w:color="auto"/>
          </w:divBdr>
        </w:div>
        <w:div w:id="1335452169">
          <w:marLeft w:val="0"/>
          <w:marRight w:val="0"/>
          <w:marTop w:val="0"/>
          <w:marBottom w:val="75"/>
          <w:divBdr>
            <w:top w:val="none" w:sz="0" w:space="0" w:color="auto"/>
            <w:left w:val="none" w:sz="0" w:space="0" w:color="auto"/>
            <w:bottom w:val="none" w:sz="0" w:space="0" w:color="auto"/>
            <w:right w:val="none" w:sz="0" w:space="0" w:color="auto"/>
          </w:divBdr>
        </w:div>
        <w:div w:id="1922791922">
          <w:marLeft w:val="0"/>
          <w:marRight w:val="0"/>
          <w:marTop w:val="0"/>
          <w:marBottom w:val="0"/>
          <w:divBdr>
            <w:top w:val="none" w:sz="0" w:space="0" w:color="auto"/>
            <w:left w:val="none" w:sz="0" w:space="0" w:color="auto"/>
            <w:bottom w:val="none" w:sz="0" w:space="0" w:color="auto"/>
            <w:right w:val="none" w:sz="0" w:space="0" w:color="auto"/>
          </w:divBdr>
        </w:div>
        <w:div w:id="1440443471">
          <w:marLeft w:val="0"/>
          <w:marRight w:val="0"/>
          <w:marTop w:val="75"/>
          <w:marBottom w:val="0"/>
          <w:divBdr>
            <w:top w:val="none" w:sz="0" w:space="0" w:color="auto"/>
            <w:left w:val="none" w:sz="0" w:space="0" w:color="auto"/>
            <w:bottom w:val="none" w:sz="0" w:space="0" w:color="auto"/>
            <w:right w:val="none" w:sz="0" w:space="0" w:color="auto"/>
          </w:divBdr>
        </w:div>
      </w:divsChild>
    </w:div>
    <w:div w:id="839081344">
      <w:bodyDiv w:val="1"/>
      <w:marLeft w:val="0"/>
      <w:marRight w:val="0"/>
      <w:marTop w:val="0"/>
      <w:marBottom w:val="0"/>
      <w:divBdr>
        <w:top w:val="none" w:sz="0" w:space="0" w:color="auto"/>
        <w:left w:val="none" w:sz="0" w:space="0" w:color="auto"/>
        <w:bottom w:val="none" w:sz="0" w:space="0" w:color="auto"/>
        <w:right w:val="none" w:sz="0" w:space="0" w:color="auto"/>
      </w:divBdr>
    </w:div>
    <w:div w:id="839395654">
      <w:bodyDiv w:val="1"/>
      <w:marLeft w:val="0"/>
      <w:marRight w:val="0"/>
      <w:marTop w:val="0"/>
      <w:marBottom w:val="0"/>
      <w:divBdr>
        <w:top w:val="none" w:sz="0" w:space="0" w:color="auto"/>
        <w:left w:val="none" w:sz="0" w:space="0" w:color="auto"/>
        <w:bottom w:val="none" w:sz="0" w:space="0" w:color="auto"/>
        <w:right w:val="none" w:sz="0" w:space="0" w:color="auto"/>
      </w:divBdr>
      <w:divsChild>
        <w:div w:id="1211652951">
          <w:marLeft w:val="0"/>
          <w:marRight w:val="0"/>
          <w:marTop w:val="0"/>
          <w:marBottom w:val="75"/>
          <w:divBdr>
            <w:top w:val="none" w:sz="0" w:space="0" w:color="auto"/>
            <w:left w:val="none" w:sz="0" w:space="0" w:color="auto"/>
            <w:bottom w:val="none" w:sz="0" w:space="0" w:color="auto"/>
            <w:right w:val="none" w:sz="0" w:space="0" w:color="auto"/>
          </w:divBdr>
        </w:div>
        <w:div w:id="1012805493">
          <w:marLeft w:val="0"/>
          <w:marRight w:val="0"/>
          <w:marTop w:val="75"/>
          <w:marBottom w:val="0"/>
          <w:divBdr>
            <w:top w:val="none" w:sz="0" w:space="0" w:color="auto"/>
            <w:left w:val="none" w:sz="0" w:space="0" w:color="auto"/>
            <w:bottom w:val="none" w:sz="0" w:space="0" w:color="auto"/>
            <w:right w:val="none" w:sz="0" w:space="0" w:color="auto"/>
          </w:divBdr>
        </w:div>
      </w:divsChild>
    </w:div>
    <w:div w:id="848056242">
      <w:bodyDiv w:val="1"/>
      <w:marLeft w:val="0"/>
      <w:marRight w:val="0"/>
      <w:marTop w:val="0"/>
      <w:marBottom w:val="0"/>
      <w:divBdr>
        <w:top w:val="none" w:sz="0" w:space="0" w:color="auto"/>
        <w:left w:val="none" w:sz="0" w:space="0" w:color="auto"/>
        <w:bottom w:val="none" w:sz="0" w:space="0" w:color="auto"/>
        <w:right w:val="none" w:sz="0" w:space="0" w:color="auto"/>
      </w:divBdr>
      <w:divsChild>
        <w:div w:id="287785657">
          <w:marLeft w:val="0"/>
          <w:marRight w:val="0"/>
          <w:marTop w:val="0"/>
          <w:marBottom w:val="75"/>
          <w:divBdr>
            <w:top w:val="none" w:sz="0" w:space="0" w:color="auto"/>
            <w:left w:val="none" w:sz="0" w:space="0" w:color="auto"/>
            <w:bottom w:val="none" w:sz="0" w:space="0" w:color="auto"/>
            <w:right w:val="none" w:sz="0" w:space="0" w:color="auto"/>
          </w:divBdr>
        </w:div>
        <w:div w:id="1738895191">
          <w:marLeft w:val="0"/>
          <w:marRight w:val="0"/>
          <w:marTop w:val="0"/>
          <w:marBottom w:val="0"/>
          <w:divBdr>
            <w:top w:val="none" w:sz="0" w:space="0" w:color="auto"/>
            <w:left w:val="none" w:sz="0" w:space="0" w:color="auto"/>
            <w:bottom w:val="none" w:sz="0" w:space="0" w:color="auto"/>
            <w:right w:val="none" w:sz="0" w:space="0" w:color="auto"/>
          </w:divBdr>
        </w:div>
        <w:div w:id="140658831">
          <w:marLeft w:val="0"/>
          <w:marRight w:val="0"/>
          <w:marTop w:val="75"/>
          <w:marBottom w:val="0"/>
          <w:divBdr>
            <w:top w:val="none" w:sz="0" w:space="0" w:color="auto"/>
            <w:left w:val="none" w:sz="0" w:space="0" w:color="auto"/>
            <w:bottom w:val="none" w:sz="0" w:space="0" w:color="auto"/>
            <w:right w:val="none" w:sz="0" w:space="0" w:color="auto"/>
          </w:divBdr>
        </w:div>
      </w:divsChild>
    </w:div>
    <w:div w:id="898370411">
      <w:bodyDiv w:val="1"/>
      <w:marLeft w:val="0"/>
      <w:marRight w:val="0"/>
      <w:marTop w:val="0"/>
      <w:marBottom w:val="0"/>
      <w:divBdr>
        <w:top w:val="none" w:sz="0" w:space="0" w:color="auto"/>
        <w:left w:val="none" w:sz="0" w:space="0" w:color="auto"/>
        <w:bottom w:val="none" w:sz="0" w:space="0" w:color="auto"/>
        <w:right w:val="none" w:sz="0" w:space="0" w:color="auto"/>
      </w:divBdr>
      <w:divsChild>
        <w:div w:id="1033382396">
          <w:marLeft w:val="0"/>
          <w:marRight w:val="0"/>
          <w:marTop w:val="0"/>
          <w:marBottom w:val="0"/>
          <w:divBdr>
            <w:top w:val="none" w:sz="0" w:space="0" w:color="auto"/>
            <w:left w:val="none" w:sz="0" w:space="0" w:color="auto"/>
            <w:bottom w:val="none" w:sz="0" w:space="0" w:color="auto"/>
            <w:right w:val="none" w:sz="0" w:space="0" w:color="auto"/>
          </w:divBdr>
          <w:divsChild>
            <w:div w:id="1016155868">
              <w:marLeft w:val="0"/>
              <w:marRight w:val="0"/>
              <w:marTop w:val="0"/>
              <w:marBottom w:val="0"/>
              <w:divBdr>
                <w:top w:val="none" w:sz="0" w:space="0" w:color="auto"/>
                <w:left w:val="none" w:sz="0" w:space="0" w:color="auto"/>
                <w:bottom w:val="none" w:sz="0" w:space="0" w:color="auto"/>
                <w:right w:val="none" w:sz="0" w:space="0" w:color="auto"/>
              </w:divBdr>
            </w:div>
            <w:div w:id="211801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199014">
      <w:bodyDiv w:val="1"/>
      <w:marLeft w:val="0"/>
      <w:marRight w:val="0"/>
      <w:marTop w:val="0"/>
      <w:marBottom w:val="0"/>
      <w:divBdr>
        <w:top w:val="none" w:sz="0" w:space="0" w:color="auto"/>
        <w:left w:val="none" w:sz="0" w:space="0" w:color="auto"/>
        <w:bottom w:val="none" w:sz="0" w:space="0" w:color="auto"/>
        <w:right w:val="none" w:sz="0" w:space="0" w:color="auto"/>
      </w:divBdr>
      <w:divsChild>
        <w:div w:id="1622758260">
          <w:marLeft w:val="0"/>
          <w:marRight w:val="0"/>
          <w:marTop w:val="0"/>
          <w:marBottom w:val="0"/>
          <w:divBdr>
            <w:top w:val="none" w:sz="0" w:space="0" w:color="auto"/>
            <w:left w:val="none" w:sz="0" w:space="0" w:color="auto"/>
            <w:bottom w:val="none" w:sz="0" w:space="0" w:color="auto"/>
            <w:right w:val="none" w:sz="0" w:space="0" w:color="auto"/>
          </w:divBdr>
          <w:divsChild>
            <w:div w:id="765492276">
              <w:marLeft w:val="0"/>
              <w:marRight w:val="0"/>
              <w:marTop w:val="0"/>
              <w:marBottom w:val="0"/>
              <w:divBdr>
                <w:top w:val="none" w:sz="0" w:space="0" w:color="auto"/>
                <w:left w:val="none" w:sz="0" w:space="0" w:color="auto"/>
                <w:bottom w:val="none" w:sz="0" w:space="0" w:color="auto"/>
                <w:right w:val="none" w:sz="0" w:space="0" w:color="auto"/>
              </w:divBdr>
            </w:div>
            <w:div w:id="213884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213387">
      <w:bodyDiv w:val="1"/>
      <w:marLeft w:val="0"/>
      <w:marRight w:val="0"/>
      <w:marTop w:val="0"/>
      <w:marBottom w:val="0"/>
      <w:divBdr>
        <w:top w:val="none" w:sz="0" w:space="0" w:color="auto"/>
        <w:left w:val="none" w:sz="0" w:space="0" w:color="auto"/>
        <w:bottom w:val="none" w:sz="0" w:space="0" w:color="auto"/>
        <w:right w:val="none" w:sz="0" w:space="0" w:color="auto"/>
      </w:divBdr>
    </w:div>
    <w:div w:id="915675640">
      <w:bodyDiv w:val="1"/>
      <w:marLeft w:val="0"/>
      <w:marRight w:val="0"/>
      <w:marTop w:val="0"/>
      <w:marBottom w:val="0"/>
      <w:divBdr>
        <w:top w:val="none" w:sz="0" w:space="0" w:color="auto"/>
        <w:left w:val="none" w:sz="0" w:space="0" w:color="auto"/>
        <w:bottom w:val="none" w:sz="0" w:space="0" w:color="auto"/>
        <w:right w:val="none" w:sz="0" w:space="0" w:color="auto"/>
      </w:divBdr>
      <w:divsChild>
        <w:div w:id="1768848167">
          <w:marLeft w:val="0"/>
          <w:marRight w:val="0"/>
          <w:marTop w:val="0"/>
          <w:marBottom w:val="0"/>
          <w:divBdr>
            <w:top w:val="none" w:sz="0" w:space="0" w:color="auto"/>
            <w:left w:val="none" w:sz="0" w:space="0" w:color="auto"/>
            <w:bottom w:val="none" w:sz="0" w:space="0" w:color="auto"/>
            <w:right w:val="none" w:sz="0" w:space="0" w:color="auto"/>
          </w:divBdr>
          <w:divsChild>
            <w:div w:id="1269508046">
              <w:marLeft w:val="0"/>
              <w:marRight w:val="0"/>
              <w:marTop w:val="0"/>
              <w:marBottom w:val="0"/>
              <w:divBdr>
                <w:top w:val="none" w:sz="0" w:space="0" w:color="auto"/>
                <w:left w:val="none" w:sz="0" w:space="0" w:color="auto"/>
                <w:bottom w:val="none" w:sz="0" w:space="0" w:color="auto"/>
                <w:right w:val="none" w:sz="0" w:space="0" w:color="auto"/>
              </w:divBdr>
            </w:div>
            <w:div w:id="73119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29982">
      <w:bodyDiv w:val="1"/>
      <w:marLeft w:val="0"/>
      <w:marRight w:val="0"/>
      <w:marTop w:val="0"/>
      <w:marBottom w:val="0"/>
      <w:divBdr>
        <w:top w:val="none" w:sz="0" w:space="0" w:color="auto"/>
        <w:left w:val="none" w:sz="0" w:space="0" w:color="auto"/>
        <w:bottom w:val="none" w:sz="0" w:space="0" w:color="auto"/>
        <w:right w:val="none" w:sz="0" w:space="0" w:color="auto"/>
      </w:divBdr>
      <w:divsChild>
        <w:div w:id="2091000901">
          <w:marLeft w:val="0"/>
          <w:marRight w:val="0"/>
          <w:marTop w:val="0"/>
          <w:marBottom w:val="0"/>
          <w:divBdr>
            <w:top w:val="none" w:sz="0" w:space="0" w:color="auto"/>
            <w:left w:val="none" w:sz="0" w:space="0" w:color="auto"/>
            <w:bottom w:val="none" w:sz="0" w:space="0" w:color="auto"/>
            <w:right w:val="none" w:sz="0" w:space="0" w:color="auto"/>
          </w:divBdr>
        </w:div>
        <w:div w:id="261497914">
          <w:marLeft w:val="0"/>
          <w:marRight w:val="0"/>
          <w:marTop w:val="0"/>
          <w:marBottom w:val="0"/>
          <w:divBdr>
            <w:top w:val="none" w:sz="0" w:space="0" w:color="auto"/>
            <w:left w:val="none" w:sz="0" w:space="0" w:color="auto"/>
            <w:bottom w:val="none" w:sz="0" w:space="0" w:color="auto"/>
            <w:right w:val="none" w:sz="0" w:space="0" w:color="auto"/>
          </w:divBdr>
        </w:div>
        <w:div w:id="1486966334">
          <w:marLeft w:val="0"/>
          <w:marRight w:val="0"/>
          <w:marTop w:val="0"/>
          <w:marBottom w:val="0"/>
          <w:divBdr>
            <w:top w:val="none" w:sz="0" w:space="0" w:color="auto"/>
            <w:left w:val="none" w:sz="0" w:space="0" w:color="auto"/>
            <w:bottom w:val="none" w:sz="0" w:space="0" w:color="auto"/>
            <w:right w:val="none" w:sz="0" w:space="0" w:color="auto"/>
          </w:divBdr>
        </w:div>
      </w:divsChild>
    </w:div>
    <w:div w:id="923492150">
      <w:bodyDiv w:val="1"/>
      <w:marLeft w:val="0"/>
      <w:marRight w:val="0"/>
      <w:marTop w:val="0"/>
      <w:marBottom w:val="0"/>
      <w:divBdr>
        <w:top w:val="none" w:sz="0" w:space="0" w:color="auto"/>
        <w:left w:val="none" w:sz="0" w:space="0" w:color="auto"/>
        <w:bottom w:val="none" w:sz="0" w:space="0" w:color="auto"/>
        <w:right w:val="none" w:sz="0" w:space="0" w:color="auto"/>
      </w:divBdr>
    </w:div>
    <w:div w:id="927805632">
      <w:bodyDiv w:val="1"/>
      <w:marLeft w:val="0"/>
      <w:marRight w:val="0"/>
      <w:marTop w:val="0"/>
      <w:marBottom w:val="0"/>
      <w:divBdr>
        <w:top w:val="none" w:sz="0" w:space="0" w:color="auto"/>
        <w:left w:val="none" w:sz="0" w:space="0" w:color="auto"/>
        <w:bottom w:val="none" w:sz="0" w:space="0" w:color="auto"/>
        <w:right w:val="none" w:sz="0" w:space="0" w:color="auto"/>
      </w:divBdr>
      <w:divsChild>
        <w:div w:id="83183575">
          <w:marLeft w:val="0"/>
          <w:marRight w:val="0"/>
          <w:marTop w:val="0"/>
          <w:marBottom w:val="0"/>
          <w:divBdr>
            <w:top w:val="none" w:sz="0" w:space="0" w:color="auto"/>
            <w:left w:val="none" w:sz="0" w:space="0" w:color="auto"/>
            <w:bottom w:val="none" w:sz="0" w:space="0" w:color="auto"/>
            <w:right w:val="none" w:sz="0" w:space="0" w:color="auto"/>
          </w:divBdr>
        </w:div>
        <w:div w:id="813183526">
          <w:marLeft w:val="0"/>
          <w:marRight w:val="0"/>
          <w:marTop w:val="0"/>
          <w:marBottom w:val="0"/>
          <w:divBdr>
            <w:top w:val="none" w:sz="0" w:space="0" w:color="auto"/>
            <w:left w:val="none" w:sz="0" w:space="0" w:color="auto"/>
            <w:bottom w:val="none" w:sz="0" w:space="0" w:color="auto"/>
            <w:right w:val="none" w:sz="0" w:space="0" w:color="auto"/>
          </w:divBdr>
        </w:div>
        <w:div w:id="1633362741">
          <w:marLeft w:val="0"/>
          <w:marRight w:val="0"/>
          <w:marTop w:val="0"/>
          <w:marBottom w:val="0"/>
          <w:divBdr>
            <w:top w:val="none" w:sz="0" w:space="0" w:color="auto"/>
            <w:left w:val="none" w:sz="0" w:space="0" w:color="auto"/>
            <w:bottom w:val="none" w:sz="0" w:space="0" w:color="auto"/>
            <w:right w:val="none" w:sz="0" w:space="0" w:color="auto"/>
          </w:divBdr>
        </w:div>
      </w:divsChild>
    </w:div>
    <w:div w:id="946620858">
      <w:bodyDiv w:val="1"/>
      <w:marLeft w:val="0"/>
      <w:marRight w:val="0"/>
      <w:marTop w:val="0"/>
      <w:marBottom w:val="0"/>
      <w:divBdr>
        <w:top w:val="none" w:sz="0" w:space="0" w:color="auto"/>
        <w:left w:val="none" w:sz="0" w:space="0" w:color="auto"/>
        <w:bottom w:val="none" w:sz="0" w:space="0" w:color="auto"/>
        <w:right w:val="none" w:sz="0" w:space="0" w:color="auto"/>
      </w:divBdr>
      <w:divsChild>
        <w:div w:id="1559633086">
          <w:marLeft w:val="0"/>
          <w:marRight w:val="0"/>
          <w:marTop w:val="0"/>
          <w:marBottom w:val="0"/>
          <w:divBdr>
            <w:top w:val="none" w:sz="0" w:space="0" w:color="auto"/>
            <w:left w:val="none" w:sz="0" w:space="0" w:color="auto"/>
            <w:bottom w:val="none" w:sz="0" w:space="0" w:color="auto"/>
            <w:right w:val="none" w:sz="0" w:space="0" w:color="auto"/>
          </w:divBdr>
        </w:div>
        <w:div w:id="755322735">
          <w:marLeft w:val="0"/>
          <w:marRight w:val="0"/>
          <w:marTop w:val="0"/>
          <w:marBottom w:val="0"/>
          <w:divBdr>
            <w:top w:val="none" w:sz="0" w:space="0" w:color="auto"/>
            <w:left w:val="none" w:sz="0" w:space="0" w:color="auto"/>
            <w:bottom w:val="none" w:sz="0" w:space="0" w:color="auto"/>
            <w:right w:val="none" w:sz="0" w:space="0" w:color="auto"/>
          </w:divBdr>
        </w:div>
        <w:div w:id="2064021884">
          <w:marLeft w:val="0"/>
          <w:marRight w:val="0"/>
          <w:marTop w:val="0"/>
          <w:marBottom w:val="0"/>
          <w:divBdr>
            <w:top w:val="none" w:sz="0" w:space="0" w:color="auto"/>
            <w:left w:val="none" w:sz="0" w:space="0" w:color="auto"/>
            <w:bottom w:val="none" w:sz="0" w:space="0" w:color="auto"/>
            <w:right w:val="none" w:sz="0" w:space="0" w:color="auto"/>
          </w:divBdr>
        </w:div>
      </w:divsChild>
    </w:div>
    <w:div w:id="952978114">
      <w:bodyDiv w:val="1"/>
      <w:marLeft w:val="0"/>
      <w:marRight w:val="0"/>
      <w:marTop w:val="0"/>
      <w:marBottom w:val="0"/>
      <w:divBdr>
        <w:top w:val="none" w:sz="0" w:space="0" w:color="auto"/>
        <w:left w:val="none" w:sz="0" w:space="0" w:color="auto"/>
        <w:bottom w:val="none" w:sz="0" w:space="0" w:color="auto"/>
        <w:right w:val="none" w:sz="0" w:space="0" w:color="auto"/>
      </w:divBdr>
      <w:divsChild>
        <w:div w:id="457651789">
          <w:marLeft w:val="0"/>
          <w:marRight w:val="0"/>
          <w:marTop w:val="0"/>
          <w:marBottom w:val="0"/>
          <w:divBdr>
            <w:top w:val="none" w:sz="0" w:space="0" w:color="auto"/>
            <w:left w:val="none" w:sz="0" w:space="0" w:color="auto"/>
            <w:bottom w:val="none" w:sz="0" w:space="0" w:color="auto"/>
            <w:right w:val="none" w:sz="0" w:space="0" w:color="auto"/>
          </w:divBdr>
          <w:divsChild>
            <w:div w:id="944843605">
              <w:marLeft w:val="0"/>
              <w:marRight w:val="0"/>
              <w:marTop w:val="0"/>
              <w:marBottom w:val="0"/>
              <w:divBdr>
                <w:top w:val="none" w:sz="0" w:space="0" w:color="auto"/>
                <w:left w:val="none" w:sz="0" w:space="0" w:color="auto"/>
                <w:bottom w:val="none" w:sz="0" w:space="0" w:color="auto"/>
                <w:right w:val="none" w:sz="0" w:space="0" w:color="auto"/>
              </w:divBdr>
            </w:div>
            <w:div w:id="176961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079784">
      <w:bodyDiv w:val="1"/>
      <w:marLeft w:val="0"/>
      <w:marRight w:val="0"/>
      <w:marTop w:val="0"/>
      <w:marBottom w:val="0"/>
      <w:divBdr>
        <w:top w:val="none" w:sz="0" w:space="0" w:color="auto"/>
        <w:left w:val="none" w:sz="0" w:space="0" w:color="auto"/>
        <w:bottom w:val="none" w:sz="0" w:space="0" w:color="auto"/>
        <w:right w:val="none" w:sz="0" w:space="0" w:color="auto"/>
      </w:divBdr>
      <w:divsChild>
        <w:div w:id="1356150299">
          <w:marLeft w:val="0"/>
          <w:marRight w:val="0"/>
          <w:marTop w:val="0"/>
          <w:marBottom w:val="75"/>
          <w:divBdr>
            <w:top w:val="none" w:sz="0" w:space="0" w:color="auto"/>
            <w:left w:val="none" w:sz="0" w:space="0" w:color="auto"/>
            <w:bottom w:val="none" w:sz="0" w:space="0" w:color="auto"/>
            <w:right w:val="none" w:sz="0" w:space="0" w:color="auto"/>
          </w:divBdr>
        </w:div>
        <w:div w:id="1413965622">
          <w:marLeft w:val="0"/>
          <w:marRight w:val="0"/>
          <w:marTop w:val="75"/>
          <w:marBottom w:val="0"/>
          <w:divBdr>
            <w:top w:val="none" w:sz="0" w:space="0" w:color="auto"/>
            <w:left w:val="none" w:sz="0" w:space="0" w:color="auto"/>
            <w:bottom w:val="none" w:sz="0" w:space="0" w:color="auto"/>
            <w:right w:val="none" w:sz="0" w:space="0" w:color="auto"/>
          </w:divBdr>
        </w:div>
      </w:divsChild>
    </w:div>
    <w:div w:id="965937446">
      <w:bodyDiv w:val="1"/>
      <w:marLeft w:val="0"/>
      <w:marRight w:val="0"/>
      <w:marTop w:val="0"/>
      <w:marBottom w:val="0"/>
      <w:divBdr>
        <w:top w:val="none" w:sz="0" w:space="0" w:color="auto"/>
        <w:left w:val="none" w:sz="0" w:space="0" w:color="auto"/>
        <w:bottom w:val="none" w:sz="0" w:space="0" w:color="auto"/>
        <w:right w:val="none" w:sz="0" w:space="0" w:color="auto"/>
      </w:divBdr>
      <w:divsChild>
        <w:div w:id="1969820013">
          <w:marLeft w:val="0"/>
          <w:marRight w:val="0"/>
          <w:marTop w:val="0"/>
          <w:marBottom w:val="75"/>
          <w:divBdr>
            <w:top w:val="none" w:sz="0" w:space="0" w:color="auto"/>
            <w:left w:val="none" w:sz="0" w:space="0" w:color="auto"/>
            <w:bottom w:val="none" w:sz="0" w:space="0" w:color="auto"/>
            <w:right w:val="none" w:sz="0" w:space="0" w:color="auto"/>
          </w:divBdr>
        </w:div>
        <w:div w:id="311257584">
          <w:marLeft w:val="0"/>
          <w:marRight w:val="0"/>
          <w:marTop w:val="75"/>
          <w:marBottom w:val="0"/>
          <w:divBdr>
            <w:top w:val="none" w:sz="0" w:space="0" w:color="auto"/>
            <w:left w:val="none" w:sz="0" w:space="0" w:color="auto"/>
            <w:bottom w:val="none" w:sz="0" w:space="0" w:color="auto"/>
            <w:right w:val="none" w:sz="0" w:space="0" w:color="auto"/>
          </w:divBdr>
        </w:div>
      </w:divsChild>
    </w:div>
    <w:div w:id="986782143">
      <w:bodyDiv w:val="1"/>
      <w:marLeft w:val="0"/>
      <w:marRight w:val="0"/>
      <w:marTop w:val="0"/>
      <w:marBottom w:val="0"/>
      <w:divBdr>
        <w:top w:val="none" w:sz="0" w:space="0" w:color="auto"/>
        <w:left w:val="none" w:sz="0" w:space="0" w:color="auto"/>
        <w:bottom w:val="none" w:sz="0" w:space="0" w:color="auto"/>
        <w:right w:val="none" w:sz="0" w:space="0" w:color="auto"/>
      </w:divBdr>
      <w:divsChild>
        <w:div w:id="420419358">
          <w:marLeft w:val="0"/>
          <w:marRight w:val="0"/>
          <w:marTop w:val="0"/>
          <w:marBottom w:val="0"/>
          <w:divBdr>
            <w:top w:val="none" w:sz="0" w:space="0" w:color="auto"/>
            <w:left w:val="none" w:sz="0" w:space="0" w:color="auto"/>
            <w:bottom w:val="none" w:sz="0" w:space="0" w:color="auto"/>
            <w:right w:val="none" w:sz="0" w:space="0" w:color="auto"/>
          </w:divBdr>
        </w:div>
        <w:div w:id="1703551230">
          <w:marLeft w:val="0"/>
          <w:marRight w:val="0"/>
          <w:marTop w:val="0"/>
          <w:marBottom w:val="0"/>
          <w:divBdr>
            <w:top w:val="none" w:sz="0" w:space="0" w:color="auto"/>
            <w:left w:val="none" w:sz="0" w:space="0" w:color="auto"/>
            <w:bottom w:val="none" w:sz="0" w:space="0" w:color="auto"/>
            <w:right w:val="none" w:sz="0" w:space="0" w:color="auto"/>
          </w:divBdr>
        </w:div>
        <w:div w:id="808977720">
          <w:marLeft w:val="0"/>
          <w:marRight w:val="0"/>
          <w:marTop w:val="0"/>
          <w:marBottom w:val="0"/>
          <w:divBdr>
            <w:top w:val="none" w:sz="0" w:space="0" w:color="auto"/>
            <w:left w:val="none" w:sz="0" w:space="0" w:color="auto"/>
            <w:bottom w:val="none" w:sz="0" w:space="0" w:color="auto"/>
            <w:right w:val="none" w:sz="0" w:space="0" w:color="auto"/>
          </w:divBdr>
        </w:div>
      </w:divsChild>
    </w:div>
    <w:div w:id="1004011938">
      <w:bodyDiv w:val="1"/>
      <w:marLeft w:val="0"/>
      <w:marRight w:val="0"/>
      <w:marTop w:val="0"/>
      <w:marBottom w:val="0"/>
      <w:divBdr>
        <w:top w:val="none" w:sz="0" w:space="0" w:color="auto"/>
        <w:left w:val="none" w:sz="0" w:space="0" w:color="auto"/>
        <w:bottom w:val="none" w:sz="0" w:space="0" w:color="auto"/>
        <w:right w:val="none" w:sz="0" w:space="0" w:color="auto"/>
      </w:divBdr>
    </w:div>
    <w:div w:id="1013411279">
      <w:bodyDiv w:val="1"/>
      <w:marLeft w:val="0"/>
      <w:marRight w:val="0"/>
      <w:marTop w:val="0"/>
      <w:marBottom w:val="0"/>
      <w:divBdr>
        <w:top w:val="none" w:sz="0" w:space="0" w:color="auto"/>
        <w:left w:val="none" w:sz="0" w:space="0" w:color="auto"/>
        <w:bottom w:val="none" w:sz="0" w:space="0" w:color="auto"/>
        <w:right w:val="none" w:sz="0" w:space="0" w:color="auto"/>
      </w:divBdr>
      <w:divsChild>
        <w:div w:id="2031447977">
          <w:marLeft w:val="0"/>
          <w:marRight w:val="0"/>
          <w:marTop w:val="0"/>
          <w:marBottom w:val="75"/>
          <w:divBdr>
            <w:top w:val="none" w:sz="0" w:space="0" w:color="auto"/>
            <w:left w:val="none" w:sz="0" w:space="0" w:color="auto"/>
            <w:bottom w:val="none" w:sz="0" w:space="0" w:color="auto"/>
            <w:right w:val="none" w:sz="0" w:space="0" w:color="auto"/>
          </w:divBdr>
        </w:div>
        <w:div w:id="1577977301">
          <w:marLeft w:val="0"/>
          <w:marRight w:val="0"/>
          <w:marTop w:val="0"/>
          <w:marBottom w:val="0"/>
          <w:divBdr>
            <w:top w:val="none" w:sz="0" w:space="0" w:color="auto"/>
            <w:left w:val="none" w:sz="0" w:space="0" w:color="auto"/>
            <w:bottom w:val="none" w:sz="0" w:space="0" w:color="auto"/>
            <w:right w:val="none" w:sz="0" w:space="0" w:color="auto"/>
          </w:divBdr>
        </w:div>
        <w:div w:id="1093402675">
          <w:marLeft w:val="0"/>
          <w:marRight w:val="0"/>
          <w:marTop w:val="75"/>
          <w:marBottom w:val="0"/>
          <w:divBdr>
            <w:top w:val="none" w:sz="0" w:space="0" w:color="auto"/>
            <w:left w:val="none" w:sz="0" w:space="0" w:color="auto"/>
            <w:bottom w:val="none" w:sz="0" w:space="0" w:color="auto"/>
            <w:right w:val="none" w:sz="0" w:space="0" w:color="auto"/>
          </w:divBdr>
        </w:div>
      </w:divsChild>
    </w:div>
    <w:div w:id="1019817265">
      <w:bodyDiv w:val="1"/>
      <w:marLeft w:val="0"/>
      <w:marRight w:val="0"/>
      <w:marTop w:val="0"/>
      <w:marBottom w:val="0"/>
      <w:divBdr>
        <w:top w:val="none" w:sz="0" w:space="0" w:color="auto"/>
        <w:left w:val="none" w:sz="0" w:space="0" w:color="auto"/>
        <w:bottom w:val="none" w:sz="0" w:space="0" w:color="auto"/>
        <w:right w:val="none" w:sz="0" w:space="0" w:color="auto"/>
      </w:divBdr>
      <w:divsChild>
        <w:div w:id="2059207982">
          <w:marLeft w:val="0"/>
          <w:marRight w:val="0"/>
          <w:marTop w:val="0"/>
          <w:marBottom w:val="75"/>
          <w:divBdr>
            <w:top w:val="none" w:sz="0" w:space="0" w:color="auto"/>
            <w:left w:val="none" w:sz="0" w:space="0" w:color="auto"/>
            <w:bottom w:val="none" w:sz="0" w:space="0" w:color="auto"/>
            <w:right w:val="none" w:sz="0" w:space="0" w:color="auto"/>
          </w:divBdr>
        </w:div>
        <w:div w:id="796726525">
          <w:marLeft w:val="0"/>
          <w:marRight w:val="0"/>
          <w:marTop w:val="75"/>
          <w:marBottom w:val="0"/>
          <w:divBdr>
            <w:top w:val="none" w:sz="0" w:space="0" w:color="auto"/>
            <w:left w:val="none" w:sz="0" w:space="0" w:color="auto"/>
            <w:bottom w:val="none" w:sz="0" w:space="0" w:color="auto"/>
            <w:right w:val="none" w:sz="0" w:space="0" w:color="auto"/>
          </w:divBdr>
        </w:div>
      </w:divsChild>
    </w:div>
    <w:div w:id="1036389585">
      <w:bodyDiv w:val="1"/>
      <w:marLeft w:val="0"/>
      <w:marRight w:val="0"/>
      <w:marTop w:val="0"/>
      <w:marBottom w:val="0"/>
      <w:divBdr>
        <w:top w:val="none" w:sz="0" w:space="0" w:color="auto"/>
        <w:left w:val="none" w:sz="0" w:space="0" w:color="auto"/>
        <w:bottom w:val="none" w:sz="0" w:space="0" w:color="auto"/>
        <w:right w:val="none" w:sz="0" w:space="0" w:color="auto"/>
      </w:divBdr>
      <w:divsChild>
        <w:div w:id="925193857">
          <w:marLeft w:val="0"/>
          <w:marRight w:val="0"/>
          <w:marTop w:val="0"/>
          <w:marBottom w:val="75"/>
          <w:divBdr>
            <w:top w:val="none" w:sz="0" w:space="0" w:color="auto"/>
            <w:left w:val="none" w:sz="0" w:space="0" w:color="auto"/>
            <w:bottom w:val="none" w:sz="0" w:space="0" w:color="auto"/>
            <w:right w:val="none" w:sz="0" w:space="0" w:color="auto"/>
          </w:divBdr>
        </w:div>
        <w:div w:id="640892514">
          <w:marLeft w:val="0"/>
          <w:marRight w:val="0"/>
          <w:marTop w:val="75"/>
          <w:marBottom w:val="0"/>
          <w:divBdr>
            <w:top w:val="none" w:sz="0" w:space="0" w:color="auto"/>
            <w:left w:val="none" w:sz="0" w:space="0" w:color="auto"/>
            <w:bottom w:val="none" w:sz="0" w:space="0" w:color="auto"/>
            <w:right w:val="none" w:sz="0" w:space="0" w:color="auto"/>
          </w:divBdr>
        </w:div>
      </w:divsChild>
    </w:div>
    <w:div w:id="1043603377">
      <w:bodyDiv w:val="1"/>
      <w:marLeft w:val="0"/>
      <w:marRight w:val="0"/>
      <w:marTop w:val="0"/>
      <w:marBottom w:val="0"/>
      <w:divBdr>
        <w:top w:val="none" w:sz="0" w:space="0" w:color="auto"/>
        <w:left w:val="none" w:sz="0" w:space="0" w:color="auto"/>
        <w:bottom w:val="none" w:sz="0" w:space="0" w:color="auto"/>
        <w:right w:val="none" w:sz="0" w:space="0" w:color="auto"/>
      </w:divBdr>
      <w:divsChild>
        <w:div w:id="1883786394">
          <w:marLeft w:val="0"/>
          <w:marRight w:val="0"/>
          <w:marTop w:val="0"/>
          <w:marBottom w:val="0"/>
          <w:divBdr>
            <w:top w:val="none" w:sz="0" w:space="0" w:color="auto"/>
            <w:left w:val="none" w:sz="0" w:space="0" w:color="auto"/>
            <w:bottom w:val="none" w:sz="0" w:space="0" w:color="auto"/>
            <w:right w:val="none" w:sz="0" w:space="0" w:color="auto"/>
          </w:divBdr>
          <w:divsChild>
            <w:div w:id="988748944">
              <w:marLeft w:val="0"/>
              <w:marRight w:val="0"/>
              <w:marTop w:val="0"/>
              <w:marBottom w:val="0"/>
              <w:divBdr>
                <w:top w:val="none" w:sz="0" w:space="0" w:color="auto"/>
                <w:left w:val="none" w:sz="0" w:space="0" w:color="auto"/>
                <w:bottom w:val="none" w:sz="0" w:space="0" w:color="auto"/>
                <w:right w:val="none" w:sz="0" w:space="0" w:color="auto"/>
              </w:divBdr>
            </w:div>
            <w:div w:id="124121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81587">
      <w:bodyDiv w:val="1"/>
      <w:marLeft w:val="0"/>
      <w:marRight w:val="0"/>
      <w:marTop w:val="0"/>
      <w:marBottom w:val="0"/>
      <w:divBdr>
        <w:top w:val="none" w:sz="0" w:space="0" w:color="auto"/>
        <w:left w:val="none" w:sz="0" w:space="0" w:color="auto"/>
        <w:bottom w:val="none" w:sz="0" w:space="0" w:color="auto"/>
        <w:right w:val="none" w:sz="0" w:space="0" w:color="auto"/>
      </w:divBdr>
      <w:divsChild>
        <w:div w:id="1555852884">
          <w:marLeft w:val="0"/>
          <w:marRight w:val="0"/>
          <w:marTop w:val="0"/>
          <w:marBottom w:val="0"/>
          <w:divBdr>
            <w:top w:val="none" w:sz="0" w:space="0" w:color="auto"/>
            <w:left w:val="none" w:sz="0" w:space="0" w:color="auto"/>
            <w:bottom w:val="none" w:sz="0" w:space="0" w:color="auto"/>
            <w:right w:val="none" w:sz="0" w:space="0" w:color="auto"/>
          </w:divBdr>
          <w:divsChild>
            <w:div w:id="347609178">
              <w:marLeft w:val="0"/>
              <w:marRight w:val="0"/>
              <w:marTop w:val="0"/>
              <w:marBottom w:val="0"/>
              <w:divBdr>
                <w:top w:val="none" w:sz="0" w:space="0" w:color="auto"/>
                <w:left w:val="none" w:sz="0" w:space="0" w:color="auto"/>
                <w:bottom w:val="none" w:sz="0" w:space="0" w:color="auto"/>
                <w:right w:val="none" w:sz="0" w:space="0" w:color="auto"/>
              </w:divBdr>
            </w:div>
            <w:div w:id="118458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80818">
      <w:bodyDiv w:val="1"/>
      <w:marLeft w:val="0"/>
      <w:marRight w:val="0"/>
      <w:marTop w:val="0"/>
      <w:marBottom w:val="0"/>
      <w:divBdr>
        <w:top w:val="none" w:sz="0" w:space="0" w:color="auto"/>
        <w:left w:val="none" w:sz="0" w:space="0" w:color="auto"/>
        <w:bottom w:val="none" w:sz="0" w:space="0" w:color="auto"/>
        <w:right w:val="none" w:sz="0" w:space="0" w:color="auto"/>
      </w:divBdr>
      <w:divsChild>
        <w:div w:id="683438465">
          <w:marLeft w:val="0"/>
          <w:marRight w:val="0"/>
          <w:marTop w:val="0"/>
          <w:marBottom w:val="0"/>
          <w:divBdr>
            <w:top w:val="none" w:sz="0" w:space="0" w:color="auto"/>
            <w:left w:val="none" w:sz="0" w:space="0" w:color="auto"/>
            <w:bottom w:val="none" w:sz="0" w:space="0" w:color="auto"/>
            <w:right w:val="none" w:sz="0" w:space="0" w:color="auto"/>
          </w:divBdr>
        </w:div>
        <w:div w:id="368147328">
          <w:marLeft w:val="0"/>
          <w:marRight w:val="0"/>
          <w:marTop w:val="0"/>
          <w:marBottom w:val="0"/>
          <w:divBdr>
            <w:top w:val="none" w:sz="0" w:space="0" w:color="auto"/>
            <w:left w:val="none" w:sz="0" w:space="0" w:color="auto"/>
            <w:bottom w:val="none" w:sz="0" w:space="0" w:color="auto"/>
            <w:right w:val="none" w:sz="0" w:space="0" w:color="auto"/>
          </w:divBdr>
        </w:div>
        <w:div w:id="364915827">
          <w:marLeft w:val="0"/>
          <w:marRight w:val="0"/>
          <w:marTop w:val="0"/>
          <w:marBottom w:val="0"/>
          <w:divBdr>
            <w:top w:val="none" w:sz="0" w:space="0" w:color="auto"/>
            <w:left w:val="none" w:sz="0" w:space="0" w:color="auto"/>
            <w:bottom w:val="none" w:sz="0" w:space="0" w:color="auto"/>
            <w:right w:val="none" w:sz="0" w:space="0" w:color="auto"/>
          </w:divBdr>
        </w:div>
      </w:divsChild>
    </w:div>
    <w:div w:id="1075585579">
      <w:bodyDiv w:val="1"/>
      <w:marLeft w:val="0"/>
      <w:marRight w:val="0"/>
      <w:marTop w:val="0"/>
      <w:marBottom w:val="0"/>
      <w:divBdr>
        <w:top w:val="none" w:sz="0" w:space="0" w:color="auto"/>
        <w:left w:val="none" w:sz="0" w:space="0" w:color="auto"/>
        <w:bottom w:val="none" w:sz="0" w:space="0" w:color="auto"/>
        <w:right w:val="none" w:sz="0" w:space="0" w:color="auto"/>
      </w:divBdr>
      <w:divsChild>
        <w:div w:id="110320425">
          <w:marLeft w:val="0"/>
          <w:marRight w:val="0"/>
          <w:marTop w:val="0"/>
          <w:marBottom w:val="0"/>
          <w:divBdr>
            <w:top w:val="none" w:sz="0" w:space="0" w:color="auto"/>
            <w:left w:val="none" w:sz="0" w:space="0" w:color="auto"/>
            <w:bottom w:val="none" w:sz="0" w:space="0" w:color="auto"/>
            <w:right w:val="none" w:sz="0" w:space="0" w:color="auto"/>
          </w:divBdr>
        </w:div>
        <w:div w:id="1682931024">
          <w:marLeft w:val="0"/>
          <w:marRight w:val="0"/>
          <w:marTop w:val="0"/>
          <w:marBottom w:val="0"/>
          <w:divBdr>
            <w:top w:val="none" w:sz="0" w:space="0" w:color="auto"/>
            <w:left w:val="none" w:sz="0" w:space="0" w:color="auto"/>
            <w:bottom w:val="none" w:sz="0" w:space="0" w:color="auto"/>
            <w:right w:val="none" w:sz="0" w:space="0" w:color="auto"/>
          </w:divBdr>
        </w:div>
        <w:div w:id="31346869">
          <w:marLeft w:val="0"/>
          <w:marRight w:val="0"/>
          <w:marTop w:val="0"/>
          <w:marBottom w:val="0"/>
          <w:divBdr>
            <w:top w:val="none" w:sz="0" w:space="0" w:color="auto"/>
            <w:left w:val="none" w:sz="0" w:space="0" w:color="auto"/>
            <w:bottom w:val="none" w:sz="0" w:space="0" w:color="auto"/>
            <w:right w:val="none" w:sz="0" w:space="0" w:color="auto"/>
          </w:divBdr>
        </w:div>
      </w:divsChild>
    </w:div>
    <w:div w:id="1076170402">
      <w:bodyDiv w:val="1"/>
      <w:marLeft w:val="0"/>
      <w:marRight w:val="0"/>
      <w:marTop w:val="0"/>
      <w:marBottom w:val="0"/>
      <w:divBdr>
        <w:top w:val="none" w:sz="0" w:space="0" w:color="auto"/>
        <w:left w:val="none" w:sz="0" w:space="0" w:color="auto"/>
        <w:bottom w:val="none" w:sz="0" w:space="0" w:color="auto"/>
        <w:right w:val="none" w:sz="0" w:space="0" w:color="auto"/>
      </w:divBdr>
      <w:divsChild>
        <w:div w:id="1752508684">
          <w:marLeft w:val="0"/>
          <w:marRight w:val="0"/>
          <w:marTop w:val="0"/>
          <w:marBottom w:val="0"/>
          <w:divBdr>
            <w:top w:val="none" w:sz="0" w:space="0" w:color="auto"/>
            <w:left w:val="none" w:sz="0" w:space="0" w:color="auto"/>
            <w:bottom w:val="none" w:sz="0" w:space="0" w:color="auto"/>
            <w:right w:val="none" w:sz="0" w:space="0" w:color="auto"/>
          </w:divBdr>
          <w:divsChild>
            <w:div w:id="1905525966">
              <w:marLeft w:val="0"/>
              <w:marRight w:val="0"/>
              <w:marTop w:val="0"/>
              <w:marBottom w:val="0"/>
              <w:divBdr>
                <w:top w:val="none" w:sz="0" w:space="0" w:color="auto"/>
                <w:left w:val="none" w:sz="0" w:space="0" w:color="auto"/>
                <w:bottom w:val="none" w:sz="0" w:space="0" w:color="auto"/>
                <w:right w:val="none" w:sz="0" w:space="0" w:color="auto"/>
              </w:divBdr>
            </w:div>
            <w:div w:id="137916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687410">
      <w:bodyDiv w:val="1"/>
      <w:marLeft w:val="0"/>
      <w:marRight w:val="0"/>
      <w:marTop w:val="0"/>
      <w:marBottom w:val="0"/>
      <w:divBdr>
        <w:top w:val="none" w:sz="0" w:space="0" w:color="auto"/>
        <w:left w:val="none" w:sz="0" w:space="0" w:color="auto"/>
        <w:bottom w:val="none" w:sz="0" w:space="0" w:color="auto"/>
        <w:right w:val="none" w:sz="0" w:space="0" w:color="auto"/>
      </w:divBdr>
      <w:divsChild>
        <w:div w:id="1839877876">
          <w:marLeft w:val="0"/>
          <w:marRight w:val="0"/>
          <w:marTop w:val="0"/>
          <w:marBottom w:val="75"/>
          <w:divBdr>
            <w:top w:val="none" w:sz="0" w:space="0" w:color="auto"/>
            <w:left w:val="none" w:sz="0" w:space="0" w:color="auto"/>
            <w:bottom w:val="none" w:sz="0" w:space="0" w:color="auto"/>
            <w:right w:val="none" w:sz="0" w:space="0" w:color="auto"/>
          </w:divBdr>
        </w:div>
        <w:div w:id="2004120028">
          <w:marLeft w:val="0"/>
          <w:marRight w:val="0"/>
          <w:marTop w:val="75"/>
          <w:marBottom w:val="0"/>
          <w:divBdr>
            <w:top w:val="none" w:sz="0" w:space="0" w:color="auto"/>
            <w:left w:val="none" w:sz="0" w:space="0" w:color="auto"/>
            <w:bottom w:val="none" w:sz="0" w:space="0" w:color="auto"/>
            <w:right w:val="none" w:sz="0" w:space="0" w:color="auto"/>
          </w:divBdr>
        </w:div>
      </w:divsChild>
    </w:div>
    <w:div w:id="1091270611">
      <w:bodyDiv w:val="1"/>
      <w:marLeft w:val="0"/>
      <w:marRight w:val="0"/>
      <w:marTop w:val="0"/>
      <w:marBottom w:val="0"/>
      <w:divBdr>
        <w:top w:val="none" w:sz="0" w:space="0" w:color="auto"/>
        <w:left w:val="none" w:sz="0" w:space="0" w:color="auto"/>
        <w:bottom w:val="none" w:sz="0" w:space="0" w:color="auto"/>
        <w:right w:val="none" w:sz="0" w:space="0" w:color="auto"/>
      </w:divBdr>
      <w:divsChild>
        <w:div w:id="1099328584">
          <w:marLeft w:val="0"/>
          <w:marRight w:val="0"/>
          <w:marTop w:val="0"/>
          <w:marBottom w:val="75"/>
          <w:divBdr>
            <w:top w:val="none" w:sz="0" w:space="0" w:color="auto"/>
            <w:left w:val="none" w:sz="0" w:space="0" w:color="auto"/>
            <w:bottom w:val="none" w:sz="0" w:space="0" w:color="auto"/>
            <w:right w:val="none" w:sz="0" w:space="0" w:color="auto"/>
          </w:divBdr>
        </w:div>
        <w:div w:id="159006531">
          <w:marLeft w:val="0"/>
          <w:marRight w:val="0"/>
          <w:marTop w:val="0"/>
          <w:marBottom w:val="0"/>
          <w:divBdr>
            <w:top w:val="none" w:sz="0" w:space="0" w:color="auto"/>
            <w:left w:val="none" w:sz="0" w:space="0" w:color="auto"/>
            <w:bottom w:val="none" w:sz="0" w:space="0" w:color="auto"/>
            <w:right w:val="none" w:sz="0" w:space="0" w:color="auto"/>
          </w:divBdr>
        </w:div>
        <w:div w:id="71197157">
          <w:marLeft w:val="0"/>
          <w:marRight w:val="0"/>
          <w:marTop w:val="75"/>
          <w:marBottom w:val="0"/>
          <w:divBdr>
            <w:top w:val="none" w:sz="0" w:space="0" w:color="auto"/>
            <w:left w:val="none" w:sz="0" w:space="0" w:color="auto"/>
            <w:bottom w:val="none" w:sz="0" w:space="0" w:color="auto"/>
            <w:right w:val="none" w:sz="0" w:space="0" w:color="auto"/>
          </w:divBdr>
        </w:div>
      </w:divsChild>
    </w:div>
    <w:div w:id="1098910861">
      <w:bodyDiv w:val="1"/>
      <w:marLeft w:val="0"/>
      <w:marRight w:val="0"/>
      <w:marTop w:val="0"/>
      <w:marBottom w:val="0"/>
      <w:divBdr>
        <w:top w:val="none" w:sz="0" w:space="0" w:color="auto"/>
        <w:left w:val="none" w:sz="0" w:space="0" w:color="auto"/>
        <w:bottom w:val="none" w:sz="0" w:space="0" w:color="auto"/>
        <w:right w:val="none" w:sz="0" w:space="0" w:color="auto"/>
      </w:divBdr>
      <w:divsChild>
        <w:div w:id="40524398">
          <w:marLeft w:val="0"/>
          <w:marRight w:val="0"/>
          <w:marTop w:val="0"/>
          <w:marBottom w:val="0"/>
          <w:divBdr>
            <w:top w:val="none" w:sz="0" w:space="0" w:color="auto"/>
            <w:left w:val="none" w:sz="0" w:space="0" w:color="auto"/>
            <w:bottom w:val="none" w:sz="0" w:space="0" w:color="auto"/>
            <w:right w:val="none" w:sz="0" w:space="0" w:color="auto"/>
          </w:divBdr>
          <w:divsChild>
            <w:div w:id="2107457504">
              <w:marLeft w:val="0"/>
              <w:marRight w:val="0"/>
              <w:marTop w:val="0"/>
              <w:marBottom w:val="0"/>
              <w:divBdr>
                <w:top w:val="none" w:sz="0" w:space="0" w:color="auto"/>
                <w:left w:val="none" w:sz="0" w:space="0" w:color="auto"/>
                <w:bottom w:val="none" w:sz="0" w:space="0" w:color="auto"/>
                <w:right w:val="none" w:sz="0" w:space="0" w:color="auto"/>
              </w:divBdr>
            </w:div>
            <w:div w:id="4734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632220">
      <w:bodyDiv w:val="1"/>
      <w:marLeft w:val="0"/>
      <w:marRight w:val="0"/>
      <w:marTop w:val="0"/>
      <w:marBottom w:val="0"/>
      <w:divBdr>
        <w:top w:val="none" w:sz="0" w:space="0" w:color="auto"/>
        <w:left w:val="none" w:sz="0" w:space="0" w:color="auto"/>
        <w:bottom w:val="none" w:sz="0" w:space="0" w:color="auto"/>
        <w:right w:val="none" w:sz="0" w:space="0" w:color="auto"/>
      </w:divBdr>
      <w:divsChild>
        <w:div w:id="150877032">
          <w:marLeft w:val="0"/>
          <w:marRight w:val="0"/>
          <w:marTop w:val="0"/>
          <w:marBottom w:val="75"/>
          <w:divBdr>
            <w:top w:val="none" w:sz="0" w:space="0" w:color="auto"/>
            <w:left w:val="none" w:sz="0" w:space="0" w:color="auto"/>
            <w:bottom w:val="none" w:sz="0" w:space="0" w:color="auto"/>
            <w:right w:val="none" w:sz="0" w:space="0" w:color="auto"/>
          </w:divBdr>
        </w:div>
        <w:div w:id="1173645301">
          <w:marLeft w:val="0"/>
          <w:marRight w:val="0"/>
          <w:marTop w:val="75"/>
          <w:marBottom w:val="0"/>
          <w:divBdr>
            <w:top w:val="none" w:sz="0" w:space="0" w:color="auto"/>
            <w:left w:val="none" w:sz="0" w:space="0" w:color="auto"/>
            <w:bottom w:val="none" w:sz="0" w:space="0" w:color="auto"/>
            <w:right w:val="none" w:sz="0" w:space="0" w:color="auto"/>
          </w:divBdr>
        </w:div>
        <w:div w:id="1389957263">
          <w:marLeft w:val="0"/>
          <w:marRight w:val="0"/>
          <w:marTop w:val="0"/>
          <w:marBottom w:val="75"/>
          <w:divBdr>
            <w:top w:val="none" w:sz="0" w:space="0" w:color="auto"/>
            <w:left w:val="none" w:sz="0" w:space="0" w:color="auto"/>
            <w:bottom w:val="none" w:sz="0" w:space="0" w:color="auto"/>
            <w:right w:val="none" w:sz="0" w:space="0" w:color="auto"/>
          </w:divBdr>
        </w:div>
        <w:div w:id="1280724529">
          <w:marLeft w:val="0"/>
          <w:marRight w:val="0"/>
          <w:marTop w:val="75"/>
          <w:marBottom w:val="0"/>
          <w:divBdr>
            <w:top w:val="none" w:sz="0" w:space="0" w:color="auto"/>
            <w:left w:val="none" w:sz="0" w:space="0" w:color="auto"/>
            <w:bottom w:val="none" w:sz="0" w:space="0" w:color="auto"/>
            <w:right w:val="none" w:sz="0" w:space="0" w:color="auto"/>
          </w:divBdr>
        </w:div>
      </w:divsChild>
    </w:div>
    <w:div w:id="1114979434">
      <w:bodyDiv w:val="1"/>
      <w:marLeft w:val="0"/>
      <w:marRight w:val="0"/>
      <w:marTop w:val="0"/>
      <w:marBottom w:val="0"/>
      <w:divBdr>
        <w:top w:val="none" w:sz="0" w:space="0" w:color="auto"/>
        <w:left w:val="none" w:sz="0" w:space="0" w:color="auto"/>
        <w:bottom w:val="none" w:sz="0" w:space="0" w:color="auto"/>
        <w:right w:val="none" w:sz="0" w:space="0" w:color="auto"/>
      </w:divBdr>
      <w:divsChild>
        <w:div w:id="849107329">
          <w:marLeft w:val="0"/>
          <w:marRight w:val="0"/>
          <w:marTop w:val="0"/>
          <w:marBottom w:val="0"/>
          <w:divBdr>
            <w:top w:val="none" w:sz="0" w:space="0" w:color="auto"/>
            <w:left w:val="none" w:sz="0" w:space="0" w:color="auto"/>
            <w:bottom w:val="none" w:sz="0" w:space="0" w:color="auto"/>
            <w:right w:val="none" w:sz="0" w:space="0" w:color="auto"/>
          </w:divBdr>
        </w:div>
      </w:divsChild>
    </w:div>
    <w:div w:id="1115053134">
      <w:bodyDiv w:val="1"/>
      <w:marLeft w:val="0"/>
      <w:marRight w:val="0"/>
      <w:marTop w:val="0"/>
      <w:marBottom w:val="0"/>
      <w:divBdr>
        <w:top w:val="none" w:sz="0" w:space="0" w:color="auto"/>
        <w:left w:val="none" w:sz="0" w:space="0" w:color="auto"/>
        <w:bottom w:val="none" w:sz="0" w:space="0" w:color="auto"/>
        <w:right w:val="none" w:sz="0" w:space="0" w:color="auto"/>
      </w:divBdr>
      <w:divsChild>
        <w:div w:id="1799376036">
          <w:marLeft w:val="0"/>
          <w:marRight w:val="0"/>
          <w:marTop w:val="0"/>
          <w:marBottom w:val="0"/>
          <w:divBdr>
            <w:top w:val="none" w:sz="0" w:space="0" w:color="auto"/>
            <w:left w:val="none" w:sz="0" w:space="0" w:color="auto"/>
            <w:bottom w:val="none" w:sz="0" w:space="0" w:color="auto"/>
            <w:right w:val="none" w:sz="0" w:space="0" w:color="auto"/>
          </w:divBdr>
          <w:divsChild>
            <w:div w:id="240483271">
              <w:marLeft w:val="0"/>
              <w:marRight w:val="0"/>
              <w:marTop w:val="0"/>
              <w:marBottom w:val="0"/>
              <w:divBdr>
                <w:top w:val="none" w:sz="0" w:space="0" w:color="auto"/>
                <w:left w:val="none" w:sz="0" w:space="0" w:color="auto"/>
                <w:bottom w:val="none" w:sz="0" w:space="0" w:color="auto"/>
                <w:right w:val="none" w:sz="0" w:space="0" w:color="auto"/>
              </w:divBdr>
            </w:div>
            <w:div w:id="78376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0568">
      <w:bodyDiv w:val="1"/>
      <w:marLeft w:val="0"/>
      <w:marRight w:val="0"/>
      <w:marTop w:val="0"/>
      <w:marBottom w:val="0"/>
      <w:divBdr>
        <w:top w:val="none" w:sz="0" w:space="0" w:color="auto"/>
        <w:left w:val="none" w:sz="0" w:space="0" w:color="auto"/>
        <w:bottom w:val="none" w:sz="0" w:space="0" w:color="auto"/>
        <w:right w:val="none" w:sz="0" w:space="0" w:color="auto"/>
      </w:divBdr>
      <w:divsChild>
        <w:div w:id="392237406">
          <w:marLeft w:val="0"/>
          <w:marRight w:val="0"/>
          <w:marTop w:val="0"/>
          <w:marBottom w:val="0"/>
          <w:divBdr>
            <w:top w:val="none" w:sz="0" w:space="0" w:color="auto"/>
            <w:left w:val="none" w:sz="0" w:space="0" w:color="auto"/>
            <w:bottom w:val="none" w:sz="0" w:space="0" w:color="auto"/>
            <w:right w:val="none" w:sz="0" w:space="0" w:color="auto"/>
          </w:divBdr>
          <w:divsChild>
            <w:div w:id="641691574">
              <w:marLeft w:val="0"/>
              <w:marRight w:val="0"/>
              <w:marTop w:val="0"/>
              <w:marBottom w:val="0"/>
              <w:divBdr>
                <w:top w:val="none" w:sz="0" w:space="0" w:color="auto"/>
                <w:left w:val="none" w:sz="0" w:space="0" w:color="auto"/>
                <w:bottom w:val="none" w:sz="0" w:space="0" w:color="auto"/>
                <w:right w:val="none" w:sz="0" w:space="0" w:color="auto"/>
              </w:divBdr>
            </w:div>
            <w:div w:id="105967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8363">
      <w:bodyDiv w:val="1"/>
      <w:marLeft w:val="0"/>
      <w:marRight w:val="0"/>
      <w:marTop w:val="0"/>
      <w:marBottom w:val="0"/>
      <w:divBdr>
        <w:top w:val="none" w:sz="0" w:space="0" w:color="auto"/>
        <w:left w:val="none" w:sz="0" w:space="0" w:color="auto"/>
        <w:bottom w:val="none" w:sz="0" w:space="0" w:color="auto"/>
        <w:right w:val="none" w:sz="0" w:space="0" w:color="auto"/>
      </w:divBdr>
      <w:divsChild>
        <w:div w:id="1194224001">
          <w:marLeft w:val="0"/>
          <w:marRight w:val="0"/>
          <w:marTop w:val="0"/>
          <w:marBottom w:val="0"/>
          <w:divBdr>
            <w:top w:val="none" w:sz="0" w:space="0" w:color="auto"/>
            <w:left w:val="none" w:sz="0" w:space="0" w:color="auto"/>
            <w:bottom w:val="none" w:sz="0" w:space="0" w:color="auto"/>
            <w:right w:val="none" w:sz="0" w:space="0" w:color="auto"/>
          </w:divBdr>
        </w:div>
        <w:div w:id="357783497">
          <w:marLeft w:val="0"/>
          <w:marRight w:val="0"/>
          <w:marTop w:val="0"/>
          <w:marBottom w:val="0"/>
          <w:divBdr>
            <w:top w:val="none" w:sz="0" w:space="0" w:color="auto"/>
            <w:left w:val="none" w:sz="0" w:space="0" w:color="auto"/>
            <w:bottom w:val="none" w:sz="0" w:space="0" w:color="auto"/>
            <w:right w:val="none" w:sz="0" w:space="0" w:color="auto"/>
          </w:divBdr>
        </w:div>
        <w:div w:id="1860003058">
          <w:marLeft w:val="0"/>
          <w:marRight w:val="0"/>
          <w:marTop w:val="0"/>
          <w:marBottom w:val="0"/>
          <w:divBdr>
            <w:top w:val="none" w:sz="0" w:space="0" w:color="auto"/>
            <w:left w:val="none" w:sz="0" w:space="0" w:color="auto"/>
            <w:bottom w:val="none" w:sz="0" w:space="0" w:color="auto"/>
            <w:right w:val="none" w:sz="0" w:space="0" w:color="auto"/>
          </w:divBdr>
        </w:div>
      </w:divsChild>
    </w:div>
    <w:div w:id="1155797457">
      <w:bodyDiv w:val="1"/>
      <w:marLeft w:val="0"/>
      <w:marRight w:val="0"/>
      <w:marTop w:val="0"/>
      <w:marBottom w:val="0"/>
      <w:divBdr>
        <w:top w:val="none" w:sz="0" w:space="0" w:color="auto"/>
        <w:left w:val="none" w:sz="0" w:space="0" w:color="auto"/>
        <w:bottom w:val="none" w:sz="0" w:space="0" w:color="auto"/>
        <w:right w:val="none" w:sz="0" w:space="0" w:color="auto"/>
      </w:divBdr>
      <w:divsChild>
        <w:div w:id="425074319">
          <w:marLeft w:val="0"/>
          <w:marRight w:val="0"/>
          <w:marTop w:val="0"/>
          <w:marBottom w:val="75"/>
          <w:divBdr>
            <w:top w:val="none" w:sz="0" w:space="0" w:color="auto"/>
            <w:left w:val="none" w:sz="0" w:space="0" w:color="auto"/>
            <w:bottom w:val="none" w:sz="0" w:space="0" w:color="auto"/>
            <w:right w:val="none" w:sz="0" w:space="0" w:color="auto"/>
          </w:divBdr>
        </w:div>
        <w:div w:id="1417895607">
          <w:marLeft w:val="0"/>
          <w:marRight w:val="0"/>
          <w:marTop w:val="75"/>
          <w:marBottom w:val="0"/>
          <w:divBdr>
            <w:top w:val="none" w:sz="0" w:space="0" w:color="auto"/>
            <w:left w:val="none" w:sz="0" w:space="0" w:color="auto"/>
            <w:bottom w:val="none" w:sz="0" w:space="0" w:color="auto"/>
            <w:right w:val="none" w:sz="0" w:space="0" w:color="auto"/>
          </w:divBdr>
        </w:div>
      </w:divsChild>
    </w:div>
    <w:div w:id="1180697447">
      <w:bodyDiv w:val="1"/>
      <w:marLeft w:val="0"/>
      <w:marRight w:val="0"/>
      <w:marTop w:val="0"/>
      <w:marBottom w:val="0"/>
      <w:divBdr>
        <w:top w:val="none" w:sz="0" w:space="0" w:color="auto"/>
        <w:left w:val="none" w:sz="0" w:space="0" w:color="auto"/>
        <w:bottom w:val="none" w:sz="0" w:space="0" w:color="auto"/>
        <w:right w:val="none" w:sz="0" w:space="0" w:color="auto"/>
      </w:divBdr>
      <w:divsChild>
        <w:div w:id="1788036570">
          <w:marLeft w:val="0"/>
          <w:marRight w:val="0"/>
          <w:marTop w:val="0"/>
          <w:marBottom w:val="0"/>
          <w:divBdr>
            <w:top w:val="none" w:sz="0" w:space="0" w:color="auto"/>
            <w:left w:val="none" w:sz="0" w:space="0" w:color="auto"/>
            <w:bottom w:val="none" w:sz="0" w:space="0" w:color="auto"/>
            <w:right w:val="none" w:sz="0" w:space="0" w:color="auto"/>
          </w:divBdr>
          <w:divsChild>
            <w:div w:id="390006228">
              <w:marLeft w:val="0"/>
              <w:marRight w:val="0"/>
              <w:marTop w:val="0"/>
              <w:marBottom w:val="0"/>
              <w:divBdr>
                <w:top w:val="none" w:sz="0" w:space="0" w:color="auto"/>
                <w:left w:val="none" w:sz="0" w:space="0" w:color="auto"/>
                <w:bottom w:val="none" w:sz="0" w:space="0" w:color="auto"/>
                <w:right w:val="none" w:sz="0" w:space="0" w:color="auto"/>
              </w:divBdr>
            </w:div>
            <w:div w:id="74445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727450">
      <w:bodyDiv w:val="1"/>
      <w:marLeft w:val="0"/>
      <w:marRight w:val="0"/>
      <w:marTop w:val="0"/>
      <w:marBottom w:val="0"/>
      <w:divBdr>
        <w:top w:val="none" w:sz="0" w:space="0" w:color="auto"/>
        <w:left w:val="none" w:sz="0" w:space="0" w:color="auto"/>
        <w:bottom w:val="none" w:sz="0" w:space="0" w:color="auto"/>
        <w:right w:val="none" w:sz="0" w:space="0" w:color="auto"/>
      </w:divBdr>
      <w:divsChild>
        <w:div w:id="1226185801">
          <w:marLeft w:val="0"/>
          <w:marRight w:val="0"/>
          <w:marTop w:val="0"/>
          <w:marBottom w:val="75"/>
          <w:divBdr>
            <w:top w:val="none" w:sz="0" w:space="0" w:color="auto"/>
            <w:left w:val="none" w:sz="0" w:space="0" w:color="auto"/>
            <w:bottom w:val="none" w:sz="0" w:space="0" w:color="auto"/>
            <w:right w:val="none" w:sz="0" w:space="0" w:color="auto"/>
          </w:divBdr>
        </w:div>
        <w:div w:id="996958337">
          <w:marLeft w:val="0"/>
          <w:marRight w:val="0"/>
          <w:marTop w:val="75"/>
          <w:marBottom w:val="0"/>
          <w:divBdr>
            <w:top w:val="none" w:sz="0" w:space="0" w:color="auto"/>
            <w:left w:val="none" w:sz="0" w:space="0" w:color="auto"/>
            <w:bottom w:val="none" w:sz="0" w:space="0" w:color="auto"/>
            <w:right w:val="none" w:sz="0" w:space="0" w:color="auto"/>
          </w:divBdr>
        </w:div>
      </w:divsChild>
    </w:div>
    <w:div w:id="1200509121">
      <w:bodyDiv w:val="1"/>
      <w:marLeft w:val="0"/>
      <w:marRight w:val="0"/>
      <w:marTop w:val="0"/>
      <w:marBottom w:val="0"/>
      <w:divBdr>
        <w:top w:val="none" w:sz="0" w:space="0" w:color="auto"/>
        <w:left w:val="none" w:sz="0" w:space="0" w:color="auto"/>
        <w:bottom w:val="none" w:sz="0" w:space="0" w:color="auto"/>
        <w:right w:val="none" w:sz="0" w:space="0" w:color="auto"/>
      </w:divBdr>
      <w:divsChild>
        <w:div w:id="1976642528">
          <w:marLeft w:val="0"/>
          <w:marRight w:val="0"/>
          <w:marTop w:val="0"/>
          <w:marBottom w:val="0"/>
          <w:divBdr>
            <w:top w:val="none" w:sz="0" w:space="0" w:color="auto"/>
            <w:left w:val="none" w:sz="0" w:space="0" w:color="auto"/>
            <w:bottom w:val="none" w:sz="0" w:space="0" w:color="auto"/>
            <w:right w:val="none" w:sz="0" w:space="0" w:color="auto"/>
          </w:divBdr>
          <w:divsChild>
            <w:div w:id="1612474201">
              <w:marLeft w:val="0"/>
              <w:marRight w:val="0"/>
              <w:marTop w:val="0"/>
              <w:marBottom w:val="0"/>
              <w:divBdr>
                <w:top w:val="none" w:sz="0" w:space="0" w:color="auto"/>
                <w:left w:val="none" w:sz="0" w:space="0" w:color="auto"/>
                <w:bottom w:val="none" w:sz="0" w:space="0" w:color="auto"/>
                <w:right w:val="none" w:sz="0" w:space="0" w:color="auto"/>
              </w:divBdr>
            </w:div>
            <w:div w:id="1753968970">
              <w:marLeft w:val="0"/>
              <w:marRight w:val="0"/>
              <w:marTop w:val="0"/>
              <w:marBottom w:val="0"/>
              <w:divBdr>
                <w:top w:val="none" w:sz="0" w:space="0" w:color="auto"/>
                <w:left w:val="none" w:sz="0" w:space="0" w:color="auto"/>
                <w:bottom w:val="none" w:sz="0" w:space="0" w:color="auto"/>
                <w:right w:val="none" w:sz="0" w:space="0" w:color="auto"/>
              </w:divBdr>
            </w:div>
            <w:div w:id="161344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770599">
      <w:bodyDiv w:val="1"/>
      <w:marLeft w:val="0"/>
      <w:marRight w:val="0"/>
      <w:marTop w:val="0"/>
      <w:marBottom w:val="0"/>
      <w:divBdr>
        <w:top w:val="none" w:sz="0" w:space="0" w:color="auto"/>
        <w:left w:val="none" w:sz="0" w:space="0" w:color="auto"/>
        <w:bottom w:val="none" w:sz="0" w:space="0" w:color="auto"/>
        <w:right w:val="none" w:sz="0" w:space="0" w:color="auto"/>
      </w:divBdr>
      <w:divsChild>
        <w:div w:id="403650668">
          <w:marLeft w:val="0"/>
          <w:marRight w:val="0"/>
          <w:marTop w:val="0"/>
          <w:marBottom w:val="0"/>
          <w:divBdr>
            <w:top w:val="none" w:sz="0" w:space="0" w:color="auto"/>
            <w:left w:val="none" w:sz="0" w:space="0" w:color="auto"/>
            <w:bottom w:val="none" w:sz="0" w:space="0" w:color="auto"/>
            <w:right w:val="none" w:sz="0" w:space="0" w:color="auto"/>
          </w:divBdr>
        </w:div>
        <w:div w:id="741828206">
          <w:marLeft w:val="0"/>
          <w:marRight w:val="0"/>
          <w:marTop w:val="0"/>
          <w:marBottom w:val="0"/>
          <w:divBdr>
            <w:top w:val="none" w:sz="0" w:space="0" w:color="auto"/>
            <w:left w:val="none" w:sz="0" w:space="0" w:color="auto"/>
            <w:bottom w:val="none" w:sz="0" w:space="0" w:color="auto"/>
            <w:right w:val="none" w:sz="0" w:space="0" w:color="auto"/>
          </w:divBdr>
        </w:div>
        <w:div w:id="765730877">
          <w:marLeft w:val="0"/>
          <w:marRight w:val="0"/>
          <w:marTop w:val="0"/>
          <w:marBottom w:val="0"/>
          <w:divBdr>
            <w:top w:val="none" w:sz="0" w:space="0" w:color="auto"/>
            <w:left w:val="none" w:sz="0" w:space="0" w:color="auto"/>
            <w:bottom w:val="none" w:sz="0" w:space="0" w:color="auto"/>
            <w:right w:val="none" w:sz="0" w:space="0" w:color="auto"/>
          </w:divBdr>
        </w:div>
      </w:divsChild>
    </w:div>
    <w:div w:id="1220165973">
      <w:bodyDiv w:val="1"/>
      <w:marLeft w:val="0"/>
      <w:marRight w:val="0"/>
      <w:marTop w:val="0"/>
      <w:marBottom w:val="0"/>
      <w:divBdr>
        <w:top w:val="none" w:sz="0" w:space="0" w:color="auto"/>
        <w:left w:val="none" w:sz="0" w:space="0" w:color="auto"/>
        <w:bottom w:val="none" w:sz="0" w:space="0" w:color="auto"/>
        <w:right w:val="none" w:sz="0" w:space="0" w:color="auto"/>
      </w:divBdr>
    </w:div>
    <w:div w:id="1222446051">
      <w:bodyDiv w:val="1"/>
      <w:marLeft w:val="0"/>
      <w:marRight w:val="0"/>
      <w:marTop w:val="0"/>
      <w:marBottom w:val="0"/>
      <w:divBdr>
        <w:top w:val="none" w:sz="0" w:space="0" w:color="auto"/>
        <w:left w:val="none" w:sz="0" w:space="0" w:color="auto"/>
        <w:bottom w:val="none" w:sz="0" w:space="0" w:color="auto"/>
        <w:right w:val="none" w:sz="0" w:space="0" w:color="auto"/>
      </w:divBdr>
      <w:divsChild>
        <w:div w:id="1774469990">
          <w:marLeft w:val="0"/>
          <w:marRight w:val="0"/>
          <w:marTop w:val="0"/>
          <w:marBottom w:val="0"/>
          <w:divBdr>
            <w:top w:val="none" w:sz="0" w:space="0" w:color="auto"/>
            <w:left w:val="none" w:sz="0" w:space="0" w:color="auto"/>
            <w:bottom w:val="none" w:sz="0" w:space="0" w:color="auto"/>
            <w:right w:val="none" w:sz="0" w:space="0" w:color="auto"/>
          </w:divBdr>
          <w:divsChild>
            <w:div w:id="78673136">
              <w:marLeft w:val="0"/>
              <w:marRight w:val="0"/>
              <w:marTop w:val="0"/>
              <w:marBottom w:val="0"/>
              <w:divBdr>
                <w:top w:val="none" w:sz="0" w:space="0" w:color="auto"/>
                <w:left w:val="none" w:sz="0" w:space="0" w:color="auto"/>
                <w:bottom w:val="none" w:sz="0" w:space="0" w:color="auto"/>
                <w:right w:val="none" w:sz="0" w:space="0" w:color="auto"/>
              </w:divBdr>
            </w:div>
            <w:div w:id="14170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56097">
      <w:bodyDiv w:val="1"/>
      <w:marLeft w:val="0"/>
      <w:marRight w:val="0"/>
      <w:marTop w:val="0"/>
      <w:marBottom w:val="0"/>
      <w:divBdr>
        <w:top w:val="none" w:sz="0" w:space="0" w:color="auto"/>
        <w:left w:val="none" w:sz="0" w:space="0" w:color="auto"/>
        <w:bottom w:val="none" w:sz="0" w:space="0" w:color="auto"/>
        <w:right w:val="none" w:sz="0" w:space="0" w:color="auto"/>
      </w:divBdr>
      <w:divsChild>
        <w:div w:id="422605200">
          <w:marLeft w:val="0"/>
          <w:marRight w:val="0"/>
          <w:marTop w:val="0"/>
          <w:marBottom w:val="0"/>
          <w:divBdr>
            <w:top w:val="none" w:sz="0" w:space="0" w:color="auto"/>
            <w:left w:val="none" w:sz="0" w:space="0" w:color="auto"/>
            <w:bottom w:val="none" w:sz="0" w:space="0" w:color="auto"/>
            <w:right w:val="none" w:sz="0" w:space="0" w:color="auto"/>
          </w:divBdr>
          <w:divsChild>
            <w:div w:id="1386568751">
              <w:marLeft w:val="0"/>
              <w:marRight w:val="0"/>
              <w:marTop w:val="0"/>
              <w:marBottom w:val="0"/>
              <w:divBdr>
                <w:top w:val="none" w:sz="0" w:space="0" w:color="auto"/>
                <w:left w:val="none" w:sz="0" w:space="0" w:color="auto"/>
                <w:bottom w:val="none" w:sz="0" w:space="0" w:color="auto"/>
                <w:right w:val="none" w:sz="0" w:space="0" w:color="auto"/>
              </w:divBdr>
            </w:div>
            <w:div w:id="18579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897843">
      <w:bodyDiv w:val="1"/>
      <w:marLeft w:val="0"/>
      <w:marRight w:val="0"/>
      <w:marTop w:val="0"/>
      <w:marBottom w:val="0"/>
      <w:divBdr>
        <w:top w:val="none" w:sz="0" w:space="0" w:color="auto"/>
        <w:left w:val="none" w:sz="0" w:space="0" w:color="auto"/>
        <w:bottom w:val="none" w:sz="0" w:space="0" w:color="auto"/>
        <w:right w:val="none" w:sz="0" w:space="0" w:color="auto"/>
      </w:divBdr>
      <w:divsChild>
        <w:div w:id="529878724">
          <w:marLeft w:val="0"/>
          <w:marRight w:val="0"/>
          <w:marTop w:val="0"/>
          <w:marBottom w:val="0"/>
          <w:divBdr>
            <w:top w:val="none" w:sz="0" w:space="0" w:color="auto"/>
            <w:left w:val="none" w:sz="0" w:space="0" w:color="auto"/>
            <w:bottom w:val="none" w:sz="0" w:space="0" w:color="auto"/>
            <w:right w:val="none" w:sz="0" w:space="0" w:color="auto"/>
          </w:divBdr>
        </w:div>
        <w:div w:id="1170294827">
          <w:marLeft w:val="0"/>
          <w:marRight w:val="0"/>
          <w:marTop w:val="0"/>
          <w:marBottom w:val="0"/>
          <w:divBdr>
            <w:top w:val="none" w:sz="0" w:space="0" w:color="auto"/>
            <w:left w:val="none" w:sz="0" w:space="0" w:color="auto"/>
            <w:bottom w:val="none" w:sz="0" w:space="0" w:color="auto"/>
            <w:right w:val="none" w:sz="0" w:space="0" w:color="auto"/>
          </w:divBdr>
        </w:div>
      </w:divsChild>
    </w:div>
    <w:div w:id="1244296499">
      <w:bodyDiv w:val="1"/>
      <w:marLeft w:val="0"/>
      <w:marRight w:val="0"/>
      <w:marTop w:val="0"/>
      <w:marBottom w:val="0"/>
      <w:divBdr>
        <w:top w:val="none" w:sz="0" w:space="0" w:color="auto"/>
        <w:left w:val="none" w:sz="0" w:space="0" w:color="auto"/>
        <w:bottom w:val="none" w:sz="0" w:space="0" w:color="auto"/>
        <w:right w:val="none" w:sz="0" w:space="0" w:color="auto"/>
      </w:divBdr>
      <w:divsChild>
        <w:div w:id="1984849282">
          <w:marLeft w:val="0"/>
          <w:marRight w:val="0"/>
          <w:marTop w:val="0"/>
          <w:marBottom w:val="0"/>
          <w:divBdr>
            <w:top w:val="none" w:sz="0" w:space="0" w:color="auto"/>
            <w:left w:val="none" w:sz="0" w:space="0" w:color="auto"/>
            <w:bottom w:val="none" w:sz="0" w:space="0" w:color="auto"/>
            <w:right w:val="none" w:sz="0" w:space="0" w:color="auto"/>
          </w:divBdr>
        </w:div>
        <w:div w:id="1317801258">
          <w:marLeft w:val="0"/>
          <w:marRight w:val="0"/>
          <w:marTop w:val="0"/>
          <w:marBottom w:val="0"/>
          <w:divBdr>
            <w:top w:val="none" w:sz="0" w:space="0" w:color="auto"/>
            <w:left w:val="none" w:sz="0" w:space="0" w:color="auto"/>
            <w:bottom w:val="none" w:sz="0" w:space="0" w:color="auto"/>
            <w:right w:val="none" w:sz="0" w:space="0" w:color="auto"/>
          </w:divBdr>
        </w:div>
        <w:div w:id="228922151">
          <w:marLeft w:val="0"/>
          <w:marRight w:val="0"/>
          <w:marTop w:val="0"/>
          <w:marBottom w:val="0"/>
          <w:divBdr>
            <w:top w:val="none" w:sz="0" w:space="0" w:color="auto"/>
            <w:left w:val="none" w:sz="0" w:space="0" w:color="auto"/>
            <w:bottom w:val="none" w:sz="0" w:space="0" w:color="auto"/>
            <w:right w:val="none" w:sz="0" w:space="0" w:color="auto"/>
          </w:divBdr>
        </w:div>
      </w:divsChild>
    </w:div>
    <w:div w:id="1248344042">
      <w:bodyDiv w:val="1"/>
      <w:marLeft w:val="0"/>
      <w:marRight w:val="0"/>
      <w:marTop w:val="0"/>
      <w:marBottom w:val="0"/>
      <w:divBdr>
        <w:top w:val="none" w:sz="0" w:space="0" w:color="auto"/>
        <w:left w:val="none" w:sz="0" w:space="0" w:color="auto"/>
        <w:bottom w:val="none" w:sz="0" w:space="0" w:color="auto"/>
        <w:right w:val="none" w:sz="0" w:space="0" w:color="auto"/>
      </w:divBdr>
    </w:div>
    <w:div w:id="1249585147">
      <w:bodyDiv w:val="1"/>
      <w:marLeft w:val="0"/>
      <w:marRight w:val="0"/>
      <w:marTop w:val="0"/>
      <w:marBottom w:val="0"/>
      <w:divBdr>
        <w:top w:val="none" w:sz="0" w:space="0" w:color="auto"/>
        <w:left w:val="none" w:sz="0" w:space="0" w:color="auto"/>
        <w:bottom w:val="none" w:sz="0" w:space="0" w:color="auto"/>
        <w:right w:val="none" w:sz="0" w:space="0" w:color="auto"/>
      </w:divBdr>
    </w:div>
    <w:div w:id="1254053903">
      <w:bodyDiv w:val="1"/>
      <w:marLeft w:val="0"/>
      <w:marRight w:val="0"/>
      <w:marTop w:val="0"/>
      <w:marBottom w:val="0"/>
      <w:divBdr>
        <w:top w:val="none" w:sz="0" w:space="0" w:color="auto"/>
        <w:left w:val="none" w:sz="0" w:space="0" w:color="auto"/>
        <w:bottom w:val="none" w:sz="0" w:space="0" w:color="auto"/>
        <w:right w:val="none" w:sz="0" w:space="0" w:color="auto"/>
      </w:divBdr>
      <w:divsChild>
        <w:div w:id="880166326">
          <w:marLeft w:val="0"/>
          <w:marRight w:val="0"/>
          <w:marTop w:val="0"/>
          <w:marBottom w:val="75"/>
          <w:divBdr>
            <w:top w:val="none" w:sz="0" w:space="0" w:color="auto"/>
            <w:left w:val="none" w:sz="0" w:space="0" w:color="auto"/>
            <w:bottom w:val="none" w:sz="0" w:space="0" w:color="auto"/>
            <w:right w:val="none" w:sz="0" w:space="0" w:color="auto"/>
          </w:divBdr>
        </w:div>
        <w:div w:id="1819230131">
          <w:marLeft w:val="0"/>
          <w:marRight w:val="0"/>
          <w:marTop w:val="75"/>
          <w:marBottom w:val="0"/>
          <w:divBdr>
            <w:top w:val="none" w:sz="0" w:space="0" w:color="auto"/>
            <w:left w:val="none" w:sz="0" w:space="0" w:color="auto"/>
            <w:bottom w:val="none" w:sz="0" w:space="0" w:color="auto"/>
            <w:right w:val="none" w:sz="0" w:space="0" w:color="auto"/>
          </w:divBdr>
        </w:div>
      </w:divsChild>
    </w:div>
    <w:div w:id="1272281030">
      <w:bodyDiv w:val="1"/>
      <w:marLeft w:val="0"/>
      <w:marRight w:val="0"/>
      <w:marTop w:val="0"/>
      <w:marBottom w:val="0"/>
      <w:divBdr>
        <w:top w:val="none" w:sz="0" w:space="0" w:color="auto"/>
        <w:left w:val="none" w:sz="0" w:space="0" w:color="auto"/>
        <w:bottom w:val="none" w:sz="0" w:space="0" w:color="auto"/>
        <w:right w:val="none" w:sz="0" w:space="0" w:color="auto"/>
      </w:divBdr>
      <w:divsChild>
        <w:div w:id="1336230513">
          <w:marLeft w:val="0"/>
          <w:marRight w:val="0"/>
          <w:marTop w:val="0"/>
          <w:marBottom w:val="75"/>
          <w:divBdr>
            <w:top w:val="none" w:sz="0" w:space="0" w:color="auto"/>
            <w:left w:val="none" w:sz="0" w:space="0" w:color="auto"/>
            <w:bottom w:val="none" w:sz="0" w:space="0" w:color="auto"/>
            <w:right w:val="none" w:sz="0" w:space="0" w:color="auto"/>
          </w:divBdr>
        </w:div>
        <w:div w:id="168374110">
          <w:marLeft w:val="0"/>
          <w:marRight w:val="0"/>
          <w:marTop w:val="75"/>
          <w:marBottom w:val="0"/>
          <w:divBdr>
            <w:top w:val="none" w:sz="0" w:space="0" w:color="auto"/>
            <w:left w:val="none" w:sz="0" w:space="0" w:color="auto"/>
            <w:bottom w:val="none" w:sz="0" w:space="0" w:color="auto"/>
            <w:right w:val="none" w:sz="0" w:space="0" w:color="auto"/>
          </w:divBdr>
        </w:div>
      </w:divsChild>
    </w:div>
    <w:div w:id="1285431240">
      <w:bodyDiv w:val="1"/>
      <w:marLeft w:val="0"/>
      <w:marRight w:val="0"/>
      <w:marTop w:val="0"/>
      <w:marBottom w:val="0"/>
      <w:divBdr>
        <w:top w:val="none" w:sz="0" w:space="0" w:color="auto"/>
        <w:left w:val="none" w:sz="0" w:space="0" w:color="auto"/>
        <w:bottom w:val="none" w:sz="0" w:space="0" w:color="auto"/>
        <w:right w:val="none" w:sz="0" w:space="0" w:color="auto"/>
      </w:divBdr>
    </w:div>
    <w:div w:id="1289513771">
      <w:bodyDiv w:val="1"/>
      <w:marLeft w:val="0"/>
      <w:marRight w:val="0"/>
      <w:marTop w:val="0"/>
      <w:marBottom w:val="0"/>
      <w:divBdr>
        <w:top w:val="none" w:sz="0" w:space="0" w:color="auto"/>
        <w:left w:val="none" w:sz="0" w:space="0" w:color="auto"/>
        <w:bottom w:val="none" w:sz="0" w:space="0" w:color="auto"/>
        <w:right w:val="none" w:sz="0" w:space="0" w:color="auto"/>
      </w:divBdr>
      <w:divsChild>
        <w:div w:id="1870877911">
          <w:marLeft w:val="0"/>
          <w:marRight w:val="0"/>
          <w:marTop w:val="0"/>
          <w:marBottom w:val="0"/>
          <w:divBdr>
            <w:top w:val="none" w:sz="0" w:space="0" w:color="auto"/>
            <w:left w:val="none" w:sz="0" w:space="0" w:color="auto"/>
            <w:bottom w:val="none" w:sz="0" w:space="0" w:color="auto"/>
            <w:right w:val="none" w:sz="0" w:space="0" w:color="auto"/>
          </w:divBdr>
          <w:divsChild>
            <w:div w:id="1981810685">
              <w:marLeft w:val="0"/>
              <w:marRight w:val="0"/>
              <w:marTop w:val="0"/>
              <w:marBottom w:val="0"/>
              <w:divBdr>
                <w:top w:val="none" w:sz="0" w:space="0" w:color="auto"/>
                <w:left w:val="none" w:sz="0" w:space="0" w:color="auto"/>
                <w:bottom w:val="none" w:sz="0" w:space="0" w:color="auto"/>
                <w:right w:val="none" w:sz="0" w:space="0" w:color="auto"/>
              </w:divBdr>
            </w:div>
            <w:div w:id="186879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468759">
      <w:bodyDiv w:val="1"/>
      <w:marLeft w:val="0"/>
      <w:marRight w:val="0"/>
      <w:marTop w:val="0"/>
      <w:marBottom w:val="0"/>
      <w:divBdr>
        <w:top w:val="none" w:sz="0" w:space="0" w:color="auto"/>
        <w:left w:val="none" w:sz="0" w:space="0" w:color="auto"/>
        <w:bottom w:val="none" w:sz="0" w:space="0" w:color="auto"/>
        <w:right w:val="none" w:sz="0" w:space="0" w:color="auto"/>
      </w:divBdr>
      <w:divsChild>
        <w:div w:id="209656586">
          <w:marLeft w:val="0"/>
          <w:marRight w:val="0"/>
          <w:marTop w:val="0"/>
          <w:marBottom w:val="0"/>
          <w:divBdr>
            <w:top w:val="none" w:sz="0" w:space="0" w:color="auto"/>
            <w:left w:val="none" w:sz="0" w:space="0" w:color="auto"/>
            <w:bottom w:val="none" w:sz="0" w:space="0" w:color="auto"/>
            <w:right w:val="none" w:sz="0" w:space="0" w:color="auto"/>
          </w:divBdr>
        </w:div>
        <w:div w:id="1446578883">
          <w:marLeft w:val="0"/>
          <w:marRight w:val="0"/>
          <w:marTop w:val="0"/>
          <w:marBottom w:val="0"/>
          <w:divBdr>
            <w:top w:val="none" w:sz="0" w:space="0" w:color="auto"/>
            <w:left w:val="none" w:sz="0" w:space="0" w:color="auto"/>
            <w:bottom w:val="none" w:sz="0" w:space="0" w:color="auto"/>
            <w:right w:val="none" w:sz="0" w:space="0" w:color="auto"/>
          </w:divBdr>
        </w:div>
        <w:div w:id="1827670719">
          <w:marLeft w:val="0"/>
          <w:marRight w:val="0"/>
          <w:marTop w:val="0"/>
          <w:marBottom w:val="0"/>
          <w:divBdr>
            <w:top w:val="none" w:sz="0" w:space="0" w:color="auto"/>
            <w:left w:val="none" w:sz="0" w:space="0" w:color="auto"/>
            <w:bottom w:val="none" w:sz="0" w:space="0" w:color="auto"/>
            <w:right w:val="none" w:sz="0" w:space="0" w:color="auto"/>
          </w:divBdr>
        </w:div>
      </w:divsChild>
    </w:div>
    <w:div w:id="1316645776">
      <w:bodyDiv w:val="1"/>
      <w:marLeft w:val="0"/>
      <w:marRight w:val="0"/>
      <w:marTop w:val="0"/>
      <w:marBottom w:val="0"/>
      <w:divBdr>
        <w:top w:val="none" w:sz="0" w:space="0" w:color="auto"/>
        <w:left w:val="none" w:sz="0" w:space="0" w:color="auto"/>
        <w:bottom w:val="none" w:sz="0" w:space="0" w:color="auto"/>
        <w:right w:val="none" w:sz="0" w:space="0" w:color="auto"/>
      </w:divBdr>
      <w:divsChild>
        <w:div w:id="1536967763">
          <w:marLeft w:val="0"/>
          <w:marRight w:val="0"/>
          <w:marTop w:val="0"/>
          <w:marBottom w:val="0"/>
          <w:divBdr>
            <w:top w:val="none" w:sz="0" w:space="0" w:color="auto"/>
            <w:left w:val="none" w:sz="0" w:space="0" w:color="auto"/>
            <w:bottom w:val="none" w:sz="0" w:space="0" w:color="auto"/>
            <w:right w:val="none" w:sz="0" w:space="0" w:color="auto"/>
          </w:divBdr>
        </w:div>
        <w:div w:id="1258323387">
          <w:marLeft w:val="0"/>
          <w:marRight w:val="0"/>
          <w:marTop w:val="0"/>
          <w:marBottom w:val="0"/>
          <w:divBdr>
            <w:top w:val="none" w:sz="0" w:space="0" w:color="auto"/>
            <w:left w:val="none" w:sz="0" w:space="0" w:color="auto"/>
            <w:bottom w:val="none" w:sz="0" w:space="0" w:color="auto"/>
            <w:right w:val="none" w:sz="0" w:space="0" w:color="auto"/>
          </w:divBdr>
        </w:div>
        <w:div w:id="168641206">
          <w:marLeft w:val="0"/>
          <w:marRight w:val="0"/>
          <w:marTop w:val="0"/>
          <w:marBottom w:val="0"/>
          <w:divBdr>
            <w:top w:val="none" w:sz="0" w:space="0" w:color="auto"/>
            <w:left w:val="none" w:sz="0" w:space="0" w:color="auto"/>
            <w:bottom w:val="none" w:sz="0" w:space="0" w:color="auto"/>
            <w:right w:val="none" w:sz="0" w:space="0" w:color="auto"/>
          </w:divBdr>
        </w:div>
      </w:divsChild>
    </w:div>
    <w:div w:id="1331253145">
      <w:bodyDiv w:val="1"/>
      <w:marLeft w:val="0"/>
      <w:marRight w:val="0"/>
      <w:marTop w:val="0"/>
      <w:marBottom w:val="0"/>
      <w:divBdr>
        <w:top w:val="none" w:sz="0" w:space="0" w:color="auto"/>
        <w:left w:val="none" w:sz="0" w:space="0" w:color="auto"/>
        <w:bottom w:val="none" w:sz="0" w:space="0" w:color="auto"/>
        <w:right w:val="none" w:sz="0" w:space="0" w:color="auto"/>
      </w:divBdr>
      <w:divsChild>
        <w:div w:id="751659055">
          <w:marLeft w:val="0"/>
          <w:marRight w:val="0"/>
          <w:marTop w:val="0"/>
          <w:marBottom w:val="75"/>
          <w:divBdr>
            <w:top w:val="none" w:sz="0" w:space="0" w:color="auto"/>
            <w:left w:val="none" w:sz="0" w:space="0" w:color="auto"/>
            <w:bottom w:val="none" w:sz="0" w:space="0" w:color="auto"/>
            <w:right w:val="none" w:sz="0" w:space="0" w:color="auto"/>
          </w:divBdr>
        </w:div>
        <w:div w:id="1839955058">
          <w:marLeft w:val="0"/>
          <w:marRight w:val="0"/>
          <w:marTop w:val="75"/>
          <w:marBottom w:val="0"/>
          <w:divBdr>
            <w:top w:val="none" w:sz="0" w:space="0" w:color="auto"/>
            <w:left w:val="none" w:sz="0" w:space="0" w:color="auto"/>
            <w:bottom w:val="none" w:sz="0" w:space="0" w:color="auto"/>
            <w:right w:val="none" w:sz="0" w:space="0" w:color="auto"/>
          </w:divBdr>
        </w:div>
      </w:divsChild>
    </w:div>
    <w:div w:id="1347824736">
      <w:bodyDiv w:val="1"/>
      <w:marLeft w:val="0"/>
      <w:marRight w:val="0"/>
      <w:marTop w:val="0"/>
      <w:marBottom w:val="0"/>
      <w:divBdr>
        <w:top w:val="none" w:sz="0" w:space="0" w:color="auto"/>
        <w:left w:val="none" w:sz="0" w:space="0" w:color="auto"/>
        <w:bottom w:val="none" w:sz="0" w:space="0" w:color="auto"/>
        <w:right w:val="none" w:sz="0" w:space="0" w:color="auto"/>
      </w:divBdr>
      <w:divsChild>
        <w:div w:id="231160253">
          <w:marLeft w:val="0"/>
          <w:marRight w:val="0"/>
          <w:marTop w:val="0"/>
          <w:marBottom w:val="0"/>
          <w:divBdr>
            <w:top w:val="none" w:sz="0" w:space="0" w:color="auto"/>
            <w:left w:val="none" w:sz="0" w:space="0" w:color="auto"/>
            <w:bottom w:val="none" w:sz="0" w:space="0" w:color="auto"/>
            <w:right w:val="none" w:sz="0" w:space="0" w:color="auto"/>
          </w:divBdr>
        </w:div>
        <w:div w:id="299381304">
          <w:marLeft w:val="0"/>
          <w:marRight w:val="0"/>
          <w:marTop w:val="0"/>
          <w:marBottom w:val="0"/>
          <w:divBdr>
            <w:top w:val="none" w:sz="0" w:space="0" w:color="auto"/>
            <w:left w:val="none" w:sz="0" w:space="0" w:color="auto"/>
            <w:bottom w:val="none" w:sz="0" w:space="0" w:color="auto"/>
            <w:right w:val="none" w:sz="0" w:space="0" w:color="auto"/>
          </w:divBdr>
        </w:div>
        <w:div w:id="732654001">
          <w:marLeft w:val="0"/>
          <w:marRight w:val="0"/>
          <w:marTop w:val="0"/>
          <w:marBottom w:val="0"/>
          <w:divBdr>
            <w:top w:val="none" w:sz="0" w:space="0" w:color="auto"/>
            <w:left w:val="none" w:sz="0" w:space="0" w:color="auto"/>
            <w:bottom w:val="none" w:sz="0" w:space="0" w:color="auto"/>
            <w:right w:val="none" w:sz="0" w:space="0" w:color="auto"/>
          </w:divBdr>
        </w:div>
      </w:divsChild>
    </w:div>
    <w:div w:id="1353192103">
      <w:bodyDiv w:val="1"/>
      <w:marLeft w:val="0"/>
      <w:marRight w:val="0"/>
      <w:marTop w:val="0"/>
      <w:marBottom w:val="0"/>
      <w:divBdr>
        <w:top w:val="none" w:sz="0" w:space="0" w:color="auto"/>
        <w:left w:val="none" w:sz="0" w:space="0" w:color="auto"/>
        <w:bottom w:val="none" w:sz="0" w:space="0" w:color="auto"/>
        <w:right w:val="none" w:sz="0" w:space="0" w:color="auto"/>
      </w:divBdr>
      <w:divsChild>
        <w:div w:id="291789056">
          <w:marLeft w:val="0"/>
          <w:marRight w:val="0"/>
          <w:marTop w:val="0"/>
          <w:marBottom w:val="0"/>
          <w:divBdr>
            <w:top w:val="none" w:sz="0" w:space="0" w:color="auto"/>
            <w:left w:val="none" w:sz="0" w:space="0" w:color="auto"/>
            <w:bottom w:val="none" w:sz="0" w:space="0" w:color="auto"/>
            <w:right w:val="none" w:sz="0" w:space="0" w:color="auto"/>
          </w:divBdr>
        </w:div>
        <w:div w:id="2078822038">
          <w:marLeft w:val="0"/>
          <w:marRight w:val="0"/>
          <w:marTop w:val="0"/>
          <w:marBottom w:val="0"/>
          <w:divBdr>
            <w:top w:val="none" w:sz="0" w:space="0" w:color="auto"/>
            <w:left w:val="none" w:sz="0" w:space="0" w:color="auto"/>
            <w:bottom w:val="none" w:sz="0" w:space="0" w:color="auto"/>
            <w:right w:val="none" w:sz="0" w:space="0" w:color="auto"/>
          </w:divBdr>
        </w:div>
        <w:div w:id="27609312">
          <w:marLeft w:val="0"/>
          <w:marRight w:val="0"/>
          <w:marTop w:val="0"/>
          <w:marBottom w:val="0"/>
          <w:divBdr>
            <w:top w:val="none" w:sz="0" w:space="0" w:color="auto"/>
            <w:left w:val="none" w:sz="0" w:space="0" w:color="auto"/>
            <w:bottom w:val="none" w:sz="0" w:space="0" w:color="auto"/>
            <w:right w:val="none" w:sz="0" w:space="0" w:color="auto"/>
          </w:divBdr>
        </w:div>
      </w:divsChild>
    </w:div>
    <w:div w:id="1353335630">
      <w:bodyDiv w:val="1"/>
      <w:marLeft w:val="0"/>
      <w:marRight w:val="0"/>
      <w:marTop w:val="0"/>
      <w:marBottom w:val="0"/>
      <w:divBdr>
        <w:top w:val="none" w:sz="0" w:space="0" w:color="auto"/>
        <w:left w:val="none" w:sz="0" w:space="0" w:color="auto"/>
        <w:bottom w:val="none" w:sz="0" w:space="0" w:color="auto"/>
        <w:right w:val="none" w:sz="0" w:space="0" w:color="auto"/>
      </w:divBdr>
      <w:divsChild>
        <w:div w:id="1856923661">
          <w:marLeft w:val="0"/>
          <w:marRight w:val="0"/>
          <w:marTop w:val="0"/>
          <w:marBottom w:val="0"/>
          <w:divBdr>
            <w:top w:val="none" w:sz="0" w:space="0" w:color="auto"/>
            <w:left w:val="none" w:sz="0" w:space="0" w:color="auto"/>
            <w:bottom w:val="none" w:sz="0" w:space="0" w:color="auto"/>
            <w:right w:val="none" w:sz="0" w:space="0" w:color="auto"/>
          </w:divBdr>
          <w:divsChild>
            <w:div w:id="2014725416">
              <w:marLeft w:val="0"/>
              <w:marRight w:val="0"/>
              <w:marTop w:val="0"/>
              <w:marBottom w:val="0"/>
              <w:divBdr>
                <w:top w:val="none" w:sz="0" w:space="0" w:color="auto"/>
                <w:left w:val="none" w:sz="0" w:space="0" w:color="auto"/>
                <w:bottom w:val="none" w:sz="0" w:space="0" w:color="auto"/>
                <w:right w:val="none" w:sz="0" w:space="0" w:color="auto"/>
              </w:divBdr>
            </w:div>
            <w:div w:id="47383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359953">
      <w:bodyDiv w:val="1"/>
      <w:marLeft w:val="0"/>
      <w:marRight w:val="0"/>
      <w:marTop w:val="0"/>
      <w:marBottom w:val="0"/>
      <w:divBdr>
        <w:top w:val="none" w:sz="0" w:space="0" w:color="auto"/>
        <w:left w:val="none" w:sz="0" w:space="0" w:color="auto"/>
        <w:bottom w:val="none" w:sz="0" w:space="0" w:color="auto"/>
        <w:right w:val="none" w:sz="0" w:space="0" w:color="auto"/>
      </w:divBdr>
      <w:divsChild>
        <w:div w:id="556820425">
          <w:marLeft w:val="0"/>
          <w:marRight w:val="0"/>
          <w:marTop w:val="0"/>
          <w:marBottom w:val="0"/>
          <w:divBdr>
            <w:top w:val="none" w:sz="0" w:space="0" w:color="auto"/>
            <w:left w:val="none" w:sz="0" w:space="0" w:color="auto"/>
            <w:bottom w:val="none" w:sz="0" w:space="0" w:color="auto"/>
            <w:right w:val="none" w:sz="0" w:space="0" w:color="auto"/>
          </w:divBdr>
        </w:div>
        <w:div w:id="1132863629">
          <w:marLeft w:val="0"/>
          <w:marRight w:val="0"/>
          <w:marTop w:val="0"/>
          <w:marBottom w:val="0"/>
          <w:divBdr>
            <w:top w:val="none" w:sz="0" w:space="0" w:color="auto"/>
            <w:left w:val="none" w:sz="0" w:space="0" w:color="auto"/>
            <w:bottom w:val="none" w:sz="0" w:space="0" w:color="auto"/>
            <w:right w:val="none" w:sz="0" w:space="0" w:color="auto"/>
          </w:divBdr>
        </w:div>
        <w:div w:id="1204900605">
          <w:marLeft w:val="0"/>
          <w:marRight w:val="0"/>
          <w:marTop w:val="0"/>
          <w:marBottom w:val="0"/>
          <w:divBdr>
            <w:top w:val="none" w:sz="0" w:space="0" w:color="auto"/>
            <w:left w:val="none" w:sz="0" w:space="0" w:color="auto"/>
            <w:bottom w:val="none" w:sz="0" w:space="0" w:color="auto"/>
            <w:right w:val="none" w:sz="0" w:space="0" w:color="auto"/>
          </w:divBdr>
        </w:div>
      </w:divsChild>
    </w:div>
    <w:div w:id="1372456241">
      <w:bodyDiv w:val="1"/>
      <w:marLeft w:val="0"/>
      <w:marRight w:val="0"/>
      <w:marTop w:val="0"/>
      <w:marBottom w:val="0"/>
      <w:divBdr>
        <w:top w:val="none" w:sz="0" w:space="0" w:color="auto"/>
        <w:left w:val="none" w:sz="0" w:space="0" w:color="auto"/>
        <w:bottom w:val="none" w:sz="0" w:space="0" w:color="auto"/>
        <w:right w:val="none" w:sz="0" w:space="0" w:color="auto"/>
      </w:divBdr>
      <w:divsChild>
        <w:div w:id="1370837397">
          <w:marLeft w:val="0"/>
          <w:marRight w:val="0"/>
          <w:marTop w:val="0"/>
          <w:marBottom w:val="75"/>
          <w:divBdr>
            <w:top w:val="none" w:sz="0" w:space="0" w:color="auto"/>
            <w:left w:val="none" w:sz="0" w:space="0" w:color="auto"/>
            <w:bottom w:val="none" w:sz="0" w:space="0" w:color="auto"/>
            <w:right w:val="none" w:sz="0" w:space="0" w:color="auto"/>
          </w:divBdr>
        </w:div>
        <w:div w:id="1490290630">
          <w:marLeft w:val="0"/>
          <w:marRight w:val="0"/>
          <w:marTop w:val="75"/>
          <w:marBottom w:val="0"/>
          <w:divBdr>
            <w:top w:val="none" w:sz="0" w:space="0" w:color="auto"/>
            <w:left w:val="none" w:sz="0" w:space="0" w:color="auto"/>
            <w:bottom w:val="none" w:sz="0" w:space="0" w:color="auto"/>
            <w:right w:val="none" w:sz="0" w:space="0" w:color="auto"/>
          </w:divBdr>
        </w:div>
      </w:divsChild>
    </w:div>
    <w:div w:id="1393965499">
      <w:bodyDiv w:val="1"/>
      <w:marLeft w:val="0"/>
      <w:marRight w:val="0"/>
      <w:marTop w:val="0"/>
      <w:marBottom w:val="0"/>
      <w:divBdr>
        <w:top w:val="none" w:sz="0" w:space="0" w:color="auto"/>
        <w:left w:val="none" w:sz="0" w:space="0" w:color="auto"/>
        <w:bottom w:val="none" w:sz="0" w:space="0" w:color="auto"/>
        <w:right w:val="none" w:sz="0" w:space="0" w:color="auto"/>
      </w:divBdr>
      <w:divsChild>
        <w:div w:id="1243491010">
          <w:marLeft w:val="0"/>
          <w:marRight w:val="0"/>
          <w:marTop w:val="0"/>
          <w:marBottom w:val="75"/>
          <w:divBdr>
            <w:top w:val="none" w:sz="0" w:space="0" w:color="auto"/>
            <w:left w:val="none" w:sz="0" w:space="0" w:color="auto"/>
            <w:bottom w:val="none" w:sz="0" w:space="0" w:color="auto"/>
            <w:right w:val="none" w:sz="0" w:space="0" w:color="auto"/>
          </w:divBdr>
        </w:div>
        <w:div w:id="988822820">
          <w:marLeft w:val="0"/>
          <w:marRight w:val="0"/>
          <w:marTop w:val="0"/>
          <w:marBottom w:val="0"/>
          <w:divBdr>
            <w:top w:val="none" w:sz="0" w:space="0" w:color="auto"/>
            <w:left w:val="none" w:sz="0" w:space="0" w:color="auto"/>
            <w:bottom w:val="none" w:sz="0" w:space="0" w:color="auto"/>
            <w:right w:val="none" w:sz="0" w:space="0" w:color="auto"/>
          </w:divBdr>
        </w:div>
        <w:div w:id="365906764">
          <w:marLeft w:val="0"/>
          <w:marRight w:val="0"/>
          <w:marTop w:val="75"/>
          <w:marBottom w:val="0"/>
          <w:divBdr>
            <w:top w:val="none" w:sz="0" w:space="0" w:color="auto"/>
            <w:left w:val="none" w:sz="0" w:space="0" w:color="auto"/>
            <w:bottom w:val="none" w:sz="0" w:space="0" w:color="auto"/>
            <w:right w:val="none" w:sz="0" w:space="0" w:color="auto"/>
          </w:divBdr>
        </w:div>
      </w:divsChild>
    </w:div>
    <w:div w:id="1410538416">
      <w:bodyDiv w:val="1"/>
      <w:marLeft w:val="0"/>
      <w:marRight w:val="0"/>
      <w:marTop w:val="0"/>
      <w:marBottom w:val="0"/>
      <w:divBdr>
        <w:top w:val="none" w:sz="0" w:space="0" w:color="auto"/>
        <w:left w:val="none" w:sz="0" w:space="0" w:color="auto"/>
        <w:bottom w:val="none" w:sz="0" w:space="0" w:color="auto"/>
        <w:right w:val="none" w:sz="0" w:space="0" w:color="auto"/>
      </w:divBdr>
      <w:divsChild>
        <w:div w:id="1022123974">
          <w:marLeft w:val="0"/>
          <w:marRight w:val="0"/>
          <w:marTop w:val="0"/>
          <w:marBottom w:val="75"/>
          <w:divBdr>
            <w:top w:val="none" w:sz="0" w:space="0" w:color="auto"/>
            <w:left w:val="none" w:sz="0" w:space="0" w:color="auto"/>
            <w:bottom w:val="none" w:sz="0" w:space="0" w:color="auto"/>
            <w:right w:val="none" w:sz="0" w:space="0" w:color="auto"/>
          </w:divBdr>
        </w:div>
        <w:div w:id="1128277660">
          <w:marLeft w:val="0"/>
          <w:marRight w:val="0"/>
          <w:marTop w:val="75"/>
          <w:marBottom w:val="0"/>
          <w:divBdr>
            <w:top w:val="none" w:sz="0" w:space="0" w:color="auto"/>
            <w:left w:val="none" w:sz="0" w:space="0" w:color="auto"/>
            <w:bottom w:val="none" w:sz="0" w:space="0" w:color="auto"/>
            <w:right w:val="none" w:sz="0" w:space="0" w:color="auto"/>
          </w:divBdr>
        </w:div>
        <w:div w:id="953170597">
          <w:marLeft w:val="0"/>
          <w:marRight w:val="0"/>
          <w:marTop w:val="0"/>
          <w:marBottom w:val="75"/>
          <w:divBdr>
            <w:top w:val="none" w:sz="0" w:space="0" w:color="auto"/>
            <w:left w:val="none" w:sz="0" w:space="0" w:color="auto"/>
            <w:bottom w:val="none" w:sz="0" w:space="0" w:color="auto"/>
            <w:right w:val="none" w:sz="0" w:space="0" w:color="auto"/>
          </w:divBdr>
        </w:div>
        <w:div w:id="1927615242">
          <w:marLeft w:val="0"/>
          <w:marRight w:val="0"/>
          <w:marTop w:val="75"/>
          <w:marBottom w:val="0"/>
          <w:divBdr>
            <w:top w:val="none" w:sz="0" w:space="0" w:color="auto"/>
            <w:left w:val="none" w:sz="0" w:space="0" w:color="auto"/>
            <w:bottom w:val="none" w:sz="0" w:space="0" w:color="auto"/>
            <w:right w:val="none" w:sz="0" w:space="0" w:color="auto"/>
          </w:divBdr>
        </w:div>
        <w:div w:id="1947082376">
          <w:marLeft w:val="0"/>
          <w:marRight w:val="0"/>
          <w:marTop w:val="0"/>
          <w:marBottom w:val="75"/>
          <w:divBdr>
            <w:top w:val="none" w:sz="0" w:space="0" w:color="auto"/>
            <w:left w:val="none" w:sz="0" w:space="0" w:color="auto"/>
            <w:bottom w:val="none" w:sz="0" w:space="0" w:color="auto"/>
            <w:right w:val="none" w:sz="0" w:space="0" w:color="auto"/>
          </w:divBdr>
        </w:div>
        <w:div w:id="1615332723">
          <w:marLeft w:val="0"/>
          <w:marRight w:val="0"/>
          <w:marTop w:val="75"/>
          <w:marBottom w:val="0"/>
          <w:divBdr>
            <w:top w:val="none" w:sz="0" w:space="0" w:color="auto"/>
            <w:left w:val="none" w:sz="0" w:space="0" w:color="auto"/>
            <w:bottom w:val="none" w:sz="0" w:space="0" w:color="auto"/>
            <w:right w:val="none" w:sz="0" w:space="0" w:color="auto"/>
          </w:divBdr>
        </w:div>
        <w:div w:id="90316361">
          <w:marLeft w:val="0"/>
          <w:marRight w:val="0"/>
          <w:marTop w:val="0"/>
          <w:marBottom w:val="450"/>
          <w:divBdr>
            <w:top w:val="none" w:sz="0" w:space="0" w:color="auto"/>
            <w:left w:val="none" w:sz="0" w:space="0" w:color="auto"/>
            <w:bottom w:val="none" w:sz="0" w:space="0" w:color="auto"/>
            <w:right w:val="none" w:sz="0" w:space="0" w:color="auto"/>
          </w:divBdr>
        </w:div>
        <w:div w:id="1951086474">
          <w:marLeft w:val="0"/>
          <w:marRight w:val="0"/>
          <w:marTop w:val="0"/>
          <w:marBottom w:val="75"/>
          <w:divBdr>
            <w:top w:val="none" w:sz="0" w:space="0" w:color="auto"/>
            <w:left w:val="none" w:sz="0" w:space="0" w:color="auto"/>
            <w:bottom w:val="none" w:sz="0" w:space="0" w:color="auto"/>
            <w:right w:val="none" w:sz="0" w:space="0" w:color="auto"/>
          </w:divBdr>
        </w:div>
        <w:div w:id="1419793606">
          <w:marLeft w:val="0"/>
          <w:marRight w:val="0"/>
          <w:marTop w:val="75"/>
          <w:marBottom w:val="0"/>
          <w:divBdr>
            <w:top w:val="none" w:sz="0" w:space="0" w:color="auto"/>
            <w:left w:val="none" w:sz="0" w:space="0" w:color="auto"/>
            <w:bottom w:val="none" w:sz="0" w:space="0" w:color="auto"/>
            <w:right w:val="none" w:sz="0" w:space="0" w:color="auto"/>
          </w:divBdr>
        </w:div>
        <w:div w:id="1397705890">
          <w:marLeft w:val="0"/>
          <w:marRight w:val="0"/>
          <w:marTop w:val="0"/>
          <w:marBottom w:val="75"/>
          <w:divBdr>
            <w:top w:val="none" w:sz="0" w:space="0" w:color="auto"/>
            <w:left w:val="none" w:sz="0" w:space="0" w:color="auto"/>
            <w:bottom w:val="none" w:sz="0" w:space="0" w:color="auto"/>
            <w:right w:val="none" w:sz="0" w:space="0" w:color="auto"/>
          </w:divBdr>
        </w:div>
        <w:div w:id="97726359">
          <w:marLeft w:val="0"/>
          <w:marRight w:val="0"/>
          <w:marTop w:val="75"/>
          <w:marBottom w:val="0"/>
          <w:divBdr>
            <w:top w:val="none" w:sz="0" w:space="0" w:color="auto"/>
            <w:left w:val="none" w:sz="0" w:space="0" w:color="auto"/>
            <w:bottom w:val="none" w:sz="0" w:space="0" w:color="auto"/>
            <w:right w:val="none" w:sz="0" w:space="0" w:color="auto"/>
          </w:divBdr>
        </w:div>
      </w:divsChild>
    </w:div>
    <w:div w:id="1415321283">
      <w:bodyDiv w:val="1"/>
      <w:marLeft w:val="0"/>
      <w:marRight w:val="0"/>
      <w:marTop w:val="0"/>
      <w:marBottom w:val="0"/>
      <w:divBdr>
        <w:top w:val="none" w:sz="0" w:space="0" w:color="auto"/>
        <w:left w:val="none" w:sz="0" w:space="0" w:color="auto"/>
        <w:bottom w:val="none" w:sz="0" w:space="0" w:color="auto"/>
        <w:right w:val="none" w:sz="0" w:space="0" w:color="auto"/>
      </w:divBdr>
      <w:divsChild>
        <w:div w:id="1725182707">
          <w:marLeft w:val="0"/>
          <w:marRight w:val="0"/>
          <w:marTop w:val="0"/>
          <w:marBottom w:val="0"/>
          <w:divBdr>
            <w:top w:val="none" w:sz="0" w:space="0" w:color="auto"/>
            <w:left w:val="none" w:sz="0" w:space="0" w:color="auto"/>
            <w:bottom w:val="none" w:sz="0" w:space="0" w:color="auto"/>
            <w:right w:val="none" w:sz="0" w:space="0" w:color="auto"/>
          </w:divBdr>
        </w:div>
        <w:div w:id="797990944">
          <w:marLeft w:val="0"/>
          <w:marRight w:val="0"/>
          <w:marTop w:val="0"/>
          <w:marBottom w:val="0"/>
          <w:divBdr>
            <w:top w:val="none" w:sz="0" w:space="0" w:color="auto"/>
            <w:left w:val="none" w:sz="0" w:space="0" w:color="auto"/>
            <w:bottom w:val="none" w:sz="0" w:space="0" w:color="auto"/>
            <w:right w:val="none" w:sz="0" w:space="0" w:color="auto"/>
          </w:divBdr>
        </w:div>
        <w:div w:id="1323506755">
          <w:marLeft w:val="0"/>
          <w:marRight w:val="0"/>
          <w:marTop w:val="0"/>
          <w:marBottom w:val="0"/>
          <w:divBdr>
            <w:top w:val="none" w:sz="0" w:space="0" w:color="auto"/>
            <w:left w:val="none" w:sz="0" w:space="0" w:color="auto"/>
            <w:bottom w:val="none" w:sz="0" w:space="0" w:color="auto"/>
            <w:right w:val="none" w:sz="0" w:space="0" w:color="auto"/>
          </w:divBdr>
        </w:div>
      </w:divsChild>
    </w:div>
    <w:div w:id="1448542304">
      <w:bodyDiv w:val="1"/>
      <w:marLeft w:val="0"/>
      <w:marRight w:val="0"/>
      <w:marTop w:val="0"/>
      <w:marBottom w:val="0"/>
      <w:divBdr>
        <w:top w:val="none" w:sz="0" w:space="0" w:color="auto"/>
        <w:left w:val="none" w:sz="0" w:space="0" w:color="auto"/>
        <w:bottom w:val="none" w:sz="0" w:space="0" w:color="auto"/>
        <w:right w:val="none" w:sz="0" w:space="0" w:color="auto"/>
      </w:divBdr>
      <w:divsChild>
        <w:div w:id="1775788934">
          <w:marLeft w:val="0"/>
          <w:marRight w:val="0"/>
          <w:marTop w:val="0"/>
          <w:marBottom w:val="75"/>
          <w:divBdr>
            <w:top w:val="none" w:sz="0" w:space="0" w:color="auto"/>
            <w:left w:val="none" w:sz="0" w:space="0" w:color="auto"/>
            <w:bottom w:val="none" w:sz="0" w:space="0" w:color="auto"/>
            <w:right w:val="none" w:sz="0" w:space="0" w:color="auto"/>
          </w:divBdr>
        </w:div>
        <w:div w:id="608972802">
          <w:marLeft w:val="0"/>
          <w:marRight w:val="0"/>
          <w:marTop w:val="75"/>
          <w:marBottom w:val="0"/>
          <w:divBdr>
            <w:top w:val="none" w:sz="0" w:space="0" w:color="auto"/>
            <w:left w:val="none" w:sz="0" w:space="0" w:color="auto"/>
            <w:bottom w:val="none" w:sz="0" w:space="0" w:color="auto"/>
            <w:right w:val="none" w:sz="0" w:space="0" w:color="auto"/>
          </w:divBdr>
        </w:div>
      </w:divsChild>
    </w:div>
    <w:div w:id="1458525166">
      <w:bodyDiv w:val="1"/>
      <w:marLeft w:val="0"/>
      <w:marRight w:val="0"/>
      <w:marTop w:val="0"/>
      <w:marBottom w:val="0"/>
      <w:divBdr>
        <w:top w:val="none" w:sz="0" w:space="0" w:color="auto"/>
        <w:left w:val="none" w:sz="0" w:space="0" w:color="auto"/>
        <w:bottom w:val="none" w:sz="0" w:space="0" w:color="auto"/>
        <w:right w:val="none" w:sz="0" w:space="0" w:color="auto"/>
      </w:divBdr>
      <w:divsChild>
        <w:div w:id="1785609452">
          <w:marLeft w:val="0"/>
          <w:marRight w:val="0"/>
          <w:marTop w:val="0"/>
          <w:marBottom w:val="0"/>
          <w:divBdr>
            <w:top w:val="none" w:sz="0" w:space="0" w:color="auto"/>
            <w:left w:val="none" w:sz="0" w:space="0" w:color="auto"/>
            <w:bottom w:val="none" w:sz="0" w:space="0" w:color="auto"/>
            <w:right w:val="none" w:sz="0" w:space="0" w:color="auto"/>
          </w:divBdr>
          <w:divsChild>
            <w:div w:id="817115398">
              <w:marLeft w:val="0"/>
              <w:marRight w:val="0"/>
              <w:marTop w:val="0"/>
              <w:marBottom w:val="0"/>
              <w:divBdr>
                <w:top w:val="none" w:sz="0" w:space="0" w:color="auto"/>
                <w:left w:val="none" w:sz="0" w:space="0" w:color="auto"/>
                <w:bottom w:val="none" w:sz="0" w:space="0" w:color="auto"/>
                <w:right w:val="none" w:sz="0" w:space="0" w:color="auto"/>
              </w:divBdr>
            </w:div>
            <w:div w:id="145255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859253">
      <w:bodyDiv w:val="1"/>
      <w:marLeft w:val="0"/>
      <w:marRight w:val="0"/>
      <w:marTop w:val="0"/>
      <w:marBottom w:val="0"/>
      <w:divBdr>
        <w:top w:val="none" w:sz="0" w:space="0" w:color="auto"/>
        <w:left w:val="none" w:sz="0" w:space="0" w:color="auto"/>
        <w:bottom w:val="none" w:sz="0" w:space="0" w:color="auto"/>
        <w:right w:val="none" w:sz="0" w:space="0" w:color="auto"/>
      </w:divBdr>
    </w:div>
    <w:div w:id="1493452495">
      <w:bodyDiv w:val="1"/>
      <w:marLeft w:val="0"/>
      <w:marRight w:val="0"/>
      <w:marTop w:val="0"/>
      <w:marBottom w:val="0"/>
      <w:divBdr>
        <w:top w:val="none" w:sz="0" w:space="0" w:color="auto"/>
        <w:left w:val="none" w:sz="0" w:space="0" w:color="auto"/>
        <w:bottom w:val="none" w:sz="0" w:space="0" w:color="auto"/>
        <w:right w:val="none" w:sz="0" w:space="0" w:color="auto"/>
      </w:divBdr>
      <w:divsChild>
        <w:div w:id="1343582248">
          <w:marLeft w:val="0"/>
          <w:marRight w:val="0"/>
          <w:marTop w:val="0"/>
          <w:marBottom w:val="0"/>
          <w:divBdr>
            <w:top w:val="none" w:sz="0" w:space="0" w:color="auto"/>
            <w:left w:val="none" w:sz="0" w:space="0" w:color="auto"/>
            <w:bottom w:val="none" w:sz="0" w:space="0" w:color="auto"/>
            <w:right w:val="none" w:sz="0" w:space="0" w:color="auto"/>
          </w:divBdr>
          <w:divsChild>
            <w:div w:id="1587807626">
              <w:marLeft w:val="0"/>
              <w:marRight w:val="0"/>
              <w:marTop w:val="0"/>
              <w:marBottom w:val="0"/>
              <w:divBdr>
                <w:top w:val="none" w:sz="0" w:space="0" w:color="auto"/>
                <w:left w:val="none" w:sz="0" w:space="0" w:color="auto"/>
                <w:bottom w:val="none" w:sz="0" w:space="0" w:color="auto"/>
                <w:right w:val="none" w:sz="0" w:space="0" w:color="auto"/>
              </w:divBdr>
            </w:div>
            <w:div w:id="20336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831070">
      <w:bodyDiv w:val="1"/>
      <w:marLeft w:val="0"/>
      <w:marRight w:val="0"/>
      <w:marTop w:val="0"/>
      <w:marBottom w:val="0"/>
      <w:divBdr>
        <w:top w:val="none" w:sz="0" w:space="0" w:color="auto"/>
        <w:left w:val="none" w:sz="0" w:space="0" w:color="auto"/>
        <w:bottom w:val="none" w:sz="0" w:space="0" w:color="auto"/>
        <w:right w:val="none" w:sz="0" w:space="0" w:color="auto"/>
      </w:divBdr>
      <w:divsChild>
        <w:div w:id="441582415">
          <w:marLeft w:val="0"/>
          <w:marRight w:val="0"/>
          <w:marTop w:val="0"/>
          <w:marBottom w:val="75"/>
          <w:divBdr>
            <w:top w:val="none" w:sz="0" w:space="0" w:color="auto"/>
            <w:left w:val="none" w:sz="0" w:space="0" w:color="auto"/>
            <w:bottom w:val="none" w:sz="0" w:space="0" w:color="auto"/>
            <w:right w:val="none" w:sz="0" w:space="0" w:color="auto"/>
          </w:divBdr>
        </w:div>
        <w:div w:id="1895047629">
          <w:marLeft w:val="0"/>
          <w:marRight w:val="0"/>
          <w:marTop w:val="75"/>
          <w:marBottom w:val="0"/>
          <w:divBdr>
            <w:top w:val="none" w:sz="0" w:space="0" w:color="auto"/>
            <w:left w:val="none" w:sz="0" w:space="0" w:color="auto"/>
            <w:bottom w:val="none" w:sz="0" w:space="0" w:color="auto"/>
            <w:right w:val="none" w:sz="0" w:space="0" w:color="auto"/>
          </w:divBdr>
        </w:div>
      </w:divsChild>
    </w:div>
    <w:div w:id="1507592855">
      <w:bodyDiv w:val="1"/>
      <w:marLeft w:val="0"/>
      <w:marRight w:val="0"/>
      <w:marTop w:val="0"/>
      <w:marBottom w:val="0"/>
      <w:divBdr>
        <w:top w:val="none" w:sz="0" w:space="0" w:color="auto"/>
        <w:left w:val="none" w:sz="0" w:space="0" w:color="auto"/>
        <w:bottom w:val="none" w:sz="0" w:space="0" w:color="auto"/>
        <w:right w:val="none" w:sz="0" w:space="0" w:color="auto"/>
      </w:divBdr>
      <w:divsChild>
        <w:div w:id="1976982553">
          <w:marLeft w:val="0"/>
          <w:marRight w:val="0"/>
          <w:marTop w:val="0"/>
          <w:marBottom w:val="0"/>
          <w:divBdr>
            <w:top w:val="none" w:sz="0" w:space="0" w:color="auto"/>
            <w:left w:val="none" w:sz="0" w:space="0" w:color="auto"/>
            <w:bottom w:val="none" w:sz="0" w:space="0" w:color="auto"/>
            <w:right w:val="none" w:sz="0" w:space="0" w:color="auto"/>
          </w:divBdr>
          <w:divsChild>
            <w:div w:id="33234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47759">
      <w:bodyDiv w:val="1"/>
      <w:marLeft w:val="0"/>
      <w:marRight w:val="0"/>
      <w:marTop w:val="0"/>
      <w:marBottom w:val="0"/>
      <w:divBdr>
        <w:top w:val="none" w:sz="0" w:space="0" w:color="auto"/>
        <w:left w:val="none" w:sz="0" w:space="0" w:color="auto"/>
        <w:bottom w:val="none" w:sz="0" w:space="0" w:color="auto"/>
        <w:right w:val="none" w:sz="0" w:space="0" w:color="auto"/>
      </w:divBdr>
      <w:divsChild>
        <w:div w:id="635178981">
          <w:marLeft w:val="0"/>
          <w:marRight w:val="0"/>
          <w:marTop w:val="0"/>
          <w:marBottom w:val="0"/>
          <w:divBdr>
            <w:top w:val="none" w:sz="0" w:space="0" w:color="auto"/>
            <w:left w:val="none" w:sz="0" w:space="0" w:color="auto"/>
            <w:bottom w:val="none" w:sz="0" w:space="0" w:color="auto"/>
            <w:right w:val="none" w:sz="0" w:space="0" w:color="auto"/>
          </w:divBdr>
          <w:divsChild>
            <w:div w:id="438989971">
              <w:marLeft w:val="0"/>
              <w:marRight w:val="0"/>
              <w:marTop w:val="0"/>
              <w:marBottom w:val="0"/>
              <w:divBdr>
                <w:top w:val="none" w:sz="0" w:space="0" w:color="auto"/>
                <w:left w:val="none" w:sz="0" w:space="0" w:color="auto"/>
                <w:bottom w:val="none" w:sz="0" w:space="0" w:color="auto"/>
                <w:right w:val="none" w:sz="0" w:space="0" w:color="auto"/>
              </w:divBdr>
            </w:div>
            <w:div w:id="161567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220450">
      <w:bodyDiv w:val="1"/>
      <w:marLeft w:val="0"/>
      <w:marRight w:val="0"/>
      <w:marTop w:val="0"/>
      <w:marBottom w:val="0"/>
      <w:divBdr>
        <w:top w:val="none" w:sz="0" w:space="0" w:color="auto"/>
        <w:left w:val="none" w:sz="0" w:space="0" w:color="auto"/>
        <w:bottom w:val="none" w:sz="0" w:space="0" w:color="auto"/>
        <w:right w:val="none" w:sz="0" w:space="0" w:color="auto"/>
      </w:divBdr>
    </w:div>
    <w:div w:id="1550414786">
      <w:bodyDiv w:val="1"/>
      <w:marLeft w:val="0"/>
      <w:marRight w:val="0"/>
      <w:marTop w:val="0"/>
      <w:marBottom w:val="0"/>
      <w:divBdr>
        <w:top w:val="none" w:sz="0" w:space="0" w:color="auto"/>
        <w:left w:val="none" w:sz="0" w:space="0" w:color="auto"/>
        <w:bottom w:val="none" w:sz="0" w:space="0" w:color="auto"/>
        <w:right w:val="none" w:sz="0" w:space="0" w:color="auto"/>
      </w:divBdr>
      <w:divsChild>
        <w:div w:id="1264192236">
          <w:marLeft w:val="0"/>
          <w:marRight w:val="0"/>
          <w:marTop w:val="0"/>
          <w:marBottom w:val="0"/>
          <w:divBdr>
            <w:top w:val="none" w:sz="0" w:space="0" w:color="auto"/>
            <w:left w:val="none" w:sz="0" w:space="0" w:color="auto"/>
            <w:bottom w:val="none" w:sz="0" w:space="0" w:color="auto"/>
            <w:right w:val="none" w:sz="0" w:space="0" w:color="auto"/>
          </w:divBdr>
        </w:div>
        <w:div w:id="444233527">
          <w:marLeft w:val="0"/>
          <w:marRight w:val="0"/>
          <w:marTop w:val="0"/>
          <w:marBottom w:val="0"/>
          <w:divBdr>
            <w:top w:val="none" w:sz="0" w:space="0" w:color="auto"/>
            <w:left w:val="none" w:sz="0" w:space="0" w:color="auto"/>
            <w:bottom w:val="none" w:sz="0" w:space="0" w:color="auto"/>
            <w:right w:val="none" w:sz="0" w:space="0" w:color="auto"/>
          </w:divBdr>
        </w:div>
        <w:div w:id="299923597">
          <w:marLeft w:val="0"/>
          <w:marRight w:val="0"/>
          <w:marTop w:val="0"/>
          <w:marBottom w:val="0"/>
          <w:divBdr>
            <w:top w:val="none" w:sz="0" w:space="0" w:color="auto"/>
            <w:left w:val="none" w:sz="0" w:space="0" w:color="auto"/>
            <w:bottom w:val="none" w:sz="0" w:space="0" w:color="auto"/>
            <w:right w:val="none" w:sz="0" w:space="0" w:color="auto"/>
          </w:divBdr>
        </w:div>
      </w:divsChild>
    </w:div>
    <w:div w:id="1550873229">
      <w:bodyDiv w:val="1"/>
      <w:marLeft w:val="0"/>
      <w:marRight w:val="0"/>
      <w:marTop w:val="0"/>
      <w:marBottom w:val="0"/>
      <w:divBdr>
        <w:top w:val="none" w:sz="0" w:space="0" w:color="auto"/>
        <w:left w:val="none" w:sz="0" w:space="0" w:color="auto"/>
        <w:bottom w:val="none" w:sz="0" w:space="0" w:color="auto"/>
        <w:right w:val="none" w:sz="0" w:space="0" w:color="auto"/>
      </w:divBdr>
      <w:divsChild>
        <w:div w:id="39479850">
          <w:marLeft w:val="0"/>
          <w:marRight w:val="0"/>
          <w:marTop w:val="0"/>
          <w:marBottom w:val="0"/>
          <w:divBdr>
            <w:top w:val="none" w:sz="0" w:space="0" w:color="auto"/>
            <w:left w:val="none" w:sz="0" w:space="0" w:color="auto"/>
            <w:bottom w:val="none" w:sz="0" w:space="0" w:color="auto"/>
            <w:right w:val="none" w:sz="0" w:space="0" w:color="auto"/>
          </w:divBdr>
        </w:div>
        <w:div w:id="1828858418">
          <w:marLeft w:val="0"/>
          <w:marRight w:val="0"/>
          <w:marTop w:val="0"/>
          <w:marBottom w:val="0"/>
          <w:divBdr>
            <w:top w:val="none" w:sz="0" w:space="0" w:color="auto"/>
            <w:left w:val="none" w:sz="0" w:space="0" w:color="auto"/>
            <w:bottom w:val="none" w:sz="0" w:space="0" w:color="auto"/>
            <w:right w:val="none" w:sz="0" w:space="0" w:color="auto"/>
          </w:divBdr>
        </w:div>
        <w:div w:id="1187254455">
          <w:marLeft w:val="0"/>
          <w:marRight w:val="0"/>
          <w:marTop w:val="0"/>
          <w:marBottom w:val="0"/>
          <w:divBdr>
            <w:top w:val="none" w:sz="0" w:space="0" w:color="auto"/>
            <w:left w:val="none" w:sz="0" w:space="0" w:color="auto"/>
            <w:bottom w:val="none" w:sz="0" w:space="0" w:color="auto"/>
            <w:right w:val="none" w:sz="0" w:space="0" w:color="auto"/>
          </w:divBdr>
        </w:div>
      </w:divsChild>
    </w:div>
    <w:div w:id="1601840113">
      <w:bodyDiv w:val="1"/>
      <w:marLeft w:val="0"/>
      <w:marRight w:val="0"/>
      <w:marTop w:val="0"/>
      <w:marBottom w:val="0"/>
      <w:divBdr>
        <w:top w:val="none" w:sz="0" w:space="0" w:color="auto"/>
        <w:left w:val="none" w:sz="0" w:space="0" w:color="auto"/>
        <w:bottom w:val="none" w:sz="0" w:space="0" w:color="auto"/>
        <w:right w:val="none" w:sz="0" w:space="0" w:color="auto"/>
      </w:divBdr>
      <w:divsChild>
        <w:div w:id="194002726">
          <w:marLeft w:val="0"/>
          <w:marRight w:val="0"/>
          <w:marTop w:val="0"/>
          <w:marBottom w:val="0"/>
          <w:divBdr>
            <w:top w:val="none" w:sz="0" w:space="0" w:color="auto"/>
            <w:left w:val="none" w:sz="0" w:space="0" w:color="auto"/>
            <w:bottom w:val="none" w:sz="0" w:space="0" w:color="auto"/>
            <w:right w:val="none" w:sz="0" w:space="0" w:color="auto"/>
          </w:divBdr>
        </w:div>
        <w:div w:id="918901931">
          <w:marLeft w:val="0"/>
          <w:marRight w:val="0"/>
          <w:marTop w:val="0"/>
          <w:marBottom w:val="0"/>
          <w:divBdr>
            <w:top w:val="none" w:sz="0" w:space="0" w:color="auto"/>
            <w:left w:val="none" w:sz="0" w:space="0" w:color="auto"/>
            <w:bottom w:val="none" w:sz="0" w:space="0" w:color="auto"/>
            <w:right w:val="none" w:sz="0" w:space="0" w:color="auto"/>
          </w:divBdr>
        </w:div>
        <w:div w:id="1451777700">
          <w:marLeft w:val="0"/>
          <w:marRight w:val="0"/>
          <w:marTop w:val="0"/>
          <w:marBottom w:val="0"/>
          <w:divBdr>
            <w:top w:val="none" w:sz="0" w:space="0" w:color="auto"/>
            <w:left w:val="none" w:sz="0" w:space="0" w:color="auto"/>
            <w:bottom w:val="none" w:sz="0" w:space="0" w:color="auto"/>
            <w:right w:val="none" w:sz="0" w:space="0" w:color="auto"/>
          </w:divBdr>
        </w:div>
      </w:divsChild>
    </w:div>
    <w:div w:id="1617058277">
      <w:bodyDiv w:val="1"/>
      <w:marLeft w:val="0"/>
      <w:marRight w:val="0"/>
      <w:marTop w:val="0"/>
      <w:marBottom w:val="0"/>
      <w:divBdr>
        <w:top w:val="none" w:sz="0" w:space="0" w:color="auto"/>
        <w:left w:val="none" w:sz="0" w:space="0" w:color="auto"/>
        <w:bottom w:val="none" w:sz="0" w:space="0" w:color="auto"/>
        <w:right w:val="none" w:sz="0" w:space="0" w:color="auto"/>
      </w:divBdr>
      <w:divsChild>
        <w:div w:id="1293246936">
          <w:marLeft w:val="0"/>
          <w:marRight w:val="0"/>
          <w:marTop w:val="0"/>
          <w:marBottom w:val="0"/>
          <w:divBdr>
            <w:top w:val="none" w:sz="0" w:space="0" w:color="auto"/>
            <w:left w:val="none" w:sz="0" w:space="0" w:color="auto"/>
            <w:bottom w:val="none" w:sz="0" w:space="0" w:color="auto"/>
            <w:right w:val="none" w:sz="0" w:space="0" w:color="auto"/>
          </w:divBdr>
        </w:div>
        <w:div w:id="921378038">
          <w:marLeft w:val="0"/>
          <w:marRight w:val="0"/>
          <w:marTop w:val="0"/>
          <w:marBottom w:val="0"/>
          <w:divBdr>
            <w:top w:val="none" w:sz="0" w:space="0" w:color="auto"/>
            <w:left w:val="none" w:sz="0" w:space="0" w:color="auto"/>
            <w:bottom w:val="none" w:sz="0" w:space="0" w:color="auto"/>
            <w:right w:val="none" w:sz="0" w:space="0" w:color="auto"/>
          </w:divBdr>
        </w:div>
        <w:div w:id="245772237">
          <w:marLeft w:val="0"/>
          <w:marRight w:val="0"/>
          <w:marTop w:val="0"/>
          <w:marBottom w:val="0"/>
          <w:divBdr>
            <w:top w:val="none" w:sz="0" w:space="0" w:color="auto"/>
            <w:left w:val="none" w:sz="0" w:space="0" w:color="auto"/>
            <w:bottom w:val="none" w:sz="0" w:space="0" w:color="auto"/>
            <w:right w:val="none" w:sz="0" w:space="0" w:color="auto"/>
          </w:divBdr>
        </w:div>
      </w:divsChild>
    </w:div>
    <w:div w:id="1659377922">
      <w:bodyDiv w:val="1"/>
      <w:marLeft w:val="0"/>
      <w:marRight w:val="0"/>
      <w:marTop w:val="0"/>
      <w:marBottom w:val="0"/>
      <w:divBdr>
        <w:top w:val="none" w:sz="0" w:space="0" w:color="auto"/>
        <w:left w:val="none" w:sz="0" w:space="0" w:color="auto"/>
        <w:bottom w:val="none" w:sz="0" w:space="0" w:color="auto"/>
        <w:right w:val="none" w:sz="0" w:space="0" w:color="auto"/>
      </w:divBdr>
      <w:divsChild>
        <w:div w:id="133760353">
          <w:marLeft w:val="0"/>
          <w:marRight w:val="0"/>
          <w:marTop w:val="0"/>
          <w:marBottom w:val="0"/>
          <w:divBdr>
            <w:top w:val="none" w:sz="0" w:space="0" w:color="auto"/>
            <w:left w:val="none" w:sz="0" w:space="0" w:color="auto"/>
            <w:bottom w:val="none" w:sz="0" w:space="0" w:color="auto"/>
            <w:right w:val="none" w:sz="0" w:space="0" w:color="auto"/>
          </w:divBdr>
        </w:div>
      </w:divsChild>
    </w:div>
    <w:div w:id="1661883979">
      <w:bodyDiv w:val="1"/>
      <w:marLeft w:val="0"/>
      <w:marRight w:val="0"/>
      <w:marTop w:val="0"/>
      <w:marBottom w:val="0"/>
      <w:divBdr>
        <w:top w:val="none" w:sz="0" w:space="0" w:color="auto"/>
        <w:left w:val="none" w:sz="0" w:space="0" w:color="auto"/>
        <w:bottom w:val="none" w:sz="0" w:space="0" w:color="auto"/>
        <w:right w:val="none" w:sz="0" w:space="0" w:color="auto"/>
      </w:divBdr>
      <w:divsChild>
        <w:div w:id="1151210092">
          <w:marLeft w:val="0"/>
          <w:marRight w:val="0"/>
          <w:marTop w:val="0"/>
          <w:marBottom w:val="0"/>
          <w:divBdr>
            <w:top w:val="none" w:sz="0" w:space="0" w:color="auto"/>
            <w:left w:val="none" w:sz="0" w:space="0" w:color="auto"/>
            <w:bottom w:val="none" w:sz="0" w:space="0" w:color="auto"/>
            <w:right w:val="none" w:sz="0" w:space="0" w:color="auto"/>
          </w:divBdr>
        </w:div>
        <w:div w:id="1488744896">
          <w:marLeft w:val="0"/>
          <w:marRight w:val="0"/>
          <w:marTop w:val="0"/>
          <w:marBottom w:val="0"/>
          <w:divBdr>
            <w:top w:val="none" w:sz="0" w:space="0" w:color="auto"/>
            <w:left w:val="none" w:sz="0" w:space="0" w:color="auto"/>
            <w:bottom w:val="none" w:sz="0" w:space="0" w:color="auto"/>
            <w:right w:val="none" w:sz="0" w:space="0" w:color="auto"/>
          </w:divBdr>
        </w:div>
        <w:div w:id="1962179518">
          <w:marLeft w:val="0"/>
          <w:marRight w:val="0"/>
          <w:marTop w:val="0"/>
          <w:marBottom w:val="0"/>
          <w:divBdr>
            <w:top w:val="none" w:sz="0" w:space="0" w:color="auto"/>
            <w:left w:val="none" w:sz="0" w:space="0" w:color="auto"/>
            <w:bottom w:val="none" w:sz="0" w:space="0" w:color="auto"/>
            <w:right w:val="none" w:sz="0" w:space="0" w:color="auto"/>
          </w:divBdr>
        </w:div>
      </w:divsChild>
    </w:div>
    <w:div w:id="1664508812">
      <w:bodyDiv w:val="1"/>
      <w:marLeft w:val="0"/>
      <w:marRight w:val="0"/>
      <w:marTop w:val="0"/>
      <w:marBottom w:val="0"/>
      <w:divBdr>
        <w:top w:val="none" w:sz="0" w:space="0" w:color="auto"/>
        <w:left w:val="none" w:sz="0" w:space="0" w:color="auto"/>
        <w:bottom w:val="none" w:sz="0" w:space="0" w:color="auto"/>
        <w:right w:val="none" w:sz="0" w:space="0" w:color="auto"/>
      </w:divBdr>
      <w:divsChild>
        <w:div w:id="1660234221">
          <w:marLeft w:val="0"/>
          <w:marRight w:val="0"/>
          <w:marTop w:val="0"/>
          <w:marBottom w:val="0"/>
          <w:divBdr>
            <w:top w:val="none" w:sz="0" w:space="0" w:color="auto"/>
            <w:left w:val="none" w:sz="0" w:space="0" w:color="auto"/>
            <w:bottom w:val="none" w:sz="0" w:space="0" w:color="auto"/>
            <w:right w:val="none" w:sz="0" w:space="0" w:color="auto"/>
          </w:divBdr>
        </w:div>
        <w:div w:id="151455883">
          <w:marLeft w:val="0"/>
          <w:marRight w:val="0"/>
          <w:marTop w:val="0"/>
          <w:marBottom w:val="0"/>
          <w:divBdr>
            <w:top w:val="none" w:sz="0" w:space="0" w:color="auto"/>
            <w:left w:val="none" w:sz="0" w:space="0" w:color="auto"/>
            <w:bottom w:val="none" w:sz="0" w:space="0" w:color="auto"/>
            <w:right w:val="none" w:sz="0" w:space="0" w:color="auto"/>
          </w:divBdr>
        </w:div>
        <w:div w:id="881403429">
          <w:marLeft w:val="0"/>
          <w:marRight w:val="0"/>
          <w:marTop w:val="0"/>
          <w:marBottom w:val="0"/>
          <w:divBdr>
            <w:top w:val="none" w:sz="0" w:space="0" w:color="auto"/>
            <w:left w:val="none" w:sz="0" w:space="0" w:color="auto"/>
            <w:bottom w:val="none" w:sz="0" w:space="0" w:color="auto"/>
            <w:right w:val="none" w:sz="0" w:space="0" w:color="auto"/>
          </w:divBdr>
        </w:div>
      </w:divsChild>
    </w:div>
    <w:div w:id="1679887350">
      <w:bodyDiv w:val="1"/>
      <w:marLeft w:val="0"/>
      <w:marRight w:val="0"/>
      <w:marTop w:val="0"/>
      <w:marBottom w:val="0"/>
      <w:divBdr>
        <w:top w:val="none" w:sz="0" w:space="0" w:color="auto"/>
        <w:left w:val="none" w:sz="0" w:space="0" w:color="auto"/>
        <w:bottom w:val="none" w:sz="0" w:space="0" w:color="auto"/>
        <w:right w:val="none" w:sz="0" w:space="0" w:color="auto"/>
      </w:divBdr>
      <w:divsChild>
        <w:div w:id="1793985789">
          <w:marLeft w:val="0"/>
          <w:marRight w:val="0"/>
          <w:marTop w:val="0"/>
          <w:marBottom w:val="75"/>
          <w:divBdr>
            <w:top w:val="none" w:sz="0" w:space="0" w:color="auto"/>
            <w:left w:val="none" w:sz="0" w:space="0" w:color="auto"/>
            <w:bottom w:val="none" w:sz="0" w:space="0" w:color="auto"/>
            <w:right w:val="none" w:sz="0" w:space="0" w:color="auto"/>
          </w:divBdr>
        </w:div>
        <w:div w:id="1726563723">
          <w:marLeft w:val="0"/>
          <w:marRight w:val="0"/>
          <w:marTop w:val="0"/>
          <w:marBottom w:val="0"/>
          <w:divBdr>
            <w:top w:val="none" w:sz="0" w:space="0" w:color="auto"/>
            <w:left w:val="none" w:sz="0" w:space="0" w:color="auto"/>
            <w:bottom w:val="none" w:sz="0" w:space="0" w:color="auto"/>
            <w:right w:val="none" w:sz="0" w:space="0" w:color="auto"/>
          </w:divBdr>
        </w:div>
        <w:div w:id="183905376">
          <w:marLeft w:val="0"/>
          <w:marRight w:val="0"/>
          <w:marTop w:val="75"/>
          <w:marBottom w:val="0"/>
          <w:divBdr>
            <w:top w:val="none" w:sz="0" w:space="0" w:color="auto"/>
            <w:left w:val="none" w:sz="0" w:space="0" w:color="auto"/>
            <w:bottom w:val="none" w:sz="0" w:space="0" w:color="auto"/>
            <w:right w:val="none" w:sz="0" w:space="0" w:color="auto"/>
          </w:divBdr>
        </w:div>
        <w:div w:id="1837303396">
          <w:marLeft w:val="0"/>
          <w:marRight w:val="0"/>
          <w:marTop w:val="0"/>
          <w:marBottom w:val="75"/>
          <w:divBdr>
            <w:top w:val="none" w:sz="0" w:space="0" w:color="auto"/>
            <w:left w:val="none" w:sz="0" w:space="0" w:color="auto"/>
            <w:bottom w:val="none" w:sz="0" w:space="0" w:color="auto"/>
            <w:right w:val="none" w:sz="0" w:space="0" w:color="auto"/>
          </w:divBdr>
        </w:div>
        <w:div w:id="1008020906">
          <w:marLeft w:val="0"/>
          <w:marRight w:val="0"/>
          <w:marTop w:val="75"/>
          <w:marBottom w:val="0"/>
          <w:divBdr>
            <w:top w:val="none" w:sz="0" w:space="0" w:color="auto"/>
            <w:left w:val="none" w:sz="0" w:space="0" w:color="auto"/>
            <w:bottom w:val="none" w:sz="0" w:space="0" w:color="auto"/>
            <w:right w:val="none" w:sz="0" w:space="0" w:color="auto"/>
          </w:divBdr>
        </w:div>
      </w:divsChild>
    </w:div>
    <w:div w:id="1713117326">
      <w:bodyDiv w:val="1"/>
      <w:marLeft w:val="0"/>
      <w:marRight w:val="0"/>
      <w:marTop w:val="0"/>
      <w:marBottom w:val="0"/>
      <w:divBdr>
        <w:top w:val="none" w:sz="0" w:space="0" w:color="auto"/>
        <w:left w:val="none" w:sz="0" w:space="0" w:color="auto"/>
        <w:bottom w:val="none" w:sz="0" w:space="0" w:color="auto"/>
        <w:right w:val="none" w:sz="0" w:space="0" w:color="auto"/>
      </w:divBdr>
      <w:divsChild>
        <w:div w:id="2108303512">
          <w:marLeft w:val="0"/>
          <w:marRight w:val="0"/>
          <w:marTop w:val="0"/>
          <w:marBottom w:val="0"/>
          <w:divBdr>
            <w:top w:val="none" w:sz="0" w:space="0" w:color="auto"/>
            <w:left w:val="none" w:sz="0" w:space="0" w:color="auto"/>
            <w:bottom w:val="none" w:sz="0" w:space="0" w:color="auto"/>
            <w:right w:val="none" w:sz="0" w:space="0" w:color="auto"/>
          </w:divBdr>
          <w:divsChild>
            <w:div w:id="654379969">
              <w:marLeft w:val="0"/>
              <w:marRight w:val="0"/>
              <w:marTop w:val="0"/>
              <w:marBottom w:val="0"/>
              <w:divBdr>
                <w:top w:val="none" w:sz="0" w:space="0" w:color="auto"/>
                <w:left w:val="none" w:sz="0" w:space="0" w:color="auto"/>
                <w:bottom w:val="none" w:sz="0" w:space="0" w:color="auto"/>
                <w:right w:val="none" w:sz="0" w:space="0" w:color="auto"/>
              </w:divBdr>
            </w:div>
            <w:div w:id="182454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78645">
      <w:bodyDiv w:val="1"/>
      <w:marLeft w:val="0"/>
      <w:marRight w:val="0"/>
      <w:marTop w:val="0"/>
      <w:marBottom w:val="0"/>
      <w:divBdr>
        <w:top w:val="none" w:sz="0" w:space="0" w:color="auto"/>
        <w:left w:val="none" w:sz="0" w:space="0" w:color="auto"/>
        <w:bottom w:val="none" w:sz="0" w:space="0" w:color="auto"/>
        <w:right w:val="none" w:sz="0" w:space="0" w:color="auto"/>
      </w:divBdr>
      <w:divsChild>
        <w:div w:id="439760399">
          <w:marLeft w:val="0"/>
          <w:marRight w:val="0"/>
          <w:marTop w:val="0"/>
          <w:marBottom w:val="0"/>
          <w:divBdr>
            <w:top w:val="none" w:sz="0" w:space="0" w:color="auto"/>
            <w:left w:val="none" w:sz="0" w:space="0" w:color="auto"/>
            <w:bottom w:val="none" w:sz="0" w:space="0" w:color="auto"/>
            <w:right w:val="none" w:sz="0" w:space="0" w:color="auto"/>
          </w:divBdr>
          <w:divsChild>
            <w:div w:id="1633906566">
              <w:marLeft w:val="0"/>
              <w:marRight w:val="0"/>
              <w:marTop w:val="0"/>
              <w:marBottom w:val="0"/>
              <w:divBdr>
                <w:top w:val="none" w:sz="0" w:space="0" w:color="auto"/>
                <w:left w:val="none" w:sz="0" w:space="0" w:color="auto"/>
                <w:bottom w:val="none" w:sz="0" w:space="0" w:color="auto"/>
                <w:right w:val="none" w:sz="0" w:space="0" w:color="auto"/>
              </w:divBdr>
            </w:div>
            <w:div w:id="40314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8485">
      <w:bodyDiv w:val="1"/>
      <w:marLeft w:val="0"/>
      <w:marRight w:val="0"/>
      <w:marTop w:val="0"/>
      <w:marBottom w:val="0"/>
      <w:divBdr>
        <w:top w:val="none" w:sz="0" w:space="0" w:color="auto"/>
        <w:left w:val="none" w:sz="0" w:space="0" w:color="auto"/>
        <w:bottom w:val="none" w:sz="0" w:space="0" w:color="auto"/>
        <w:right w:val="none" w:sz="0" w:space="0" w:color="auto"/>
      </w:divBdr>
      <w:divsChild>
        <w:div w:id="510218208">
          <w:marLeft w:val="0"/>
          <w:marRight w:val="0"/>
          <w:marTop w:val="0"/>
          <w:marBottom w:val="0"/>
          <w:divBdr>
            <w:top w:val="none" w:sz="0" w:space="0" w:color="auto"/>
            <w:left w:val="none" w:sz="0" w:space="0" w:color="auto"/>
            <w:bottom w:val="none" w:sz="0" w:space="0" w:color="auto"/>
            <w:right w:val="none" w:sz="0" w:space="0" w:color="auto"/>
          </w:divBdr>
          <w:divsChild>
            <w:div w:id="2076313826">
              <w:marLeft w:val="0"/>
              <w:marRight w:val="0"/>
              <w:marTop w:val="0"/>
              <w:marBottom w:val="0"/>
              <w:divBdr>
                <w:top w:val="none" w:sz="0" w:space="0" w:color="auto"/>
                <w:left w:val="none" w:sz="0" w:space="0" w:color="auto"/>
                <w:bottom w:val="none" w:sz="0" w:space="0" w:color="auto"/>
                <w:right w:val="none" w:sz="0" w:space="0" w:color="auto"/>
              </w:divBdr>
            </w:div>
            <w:div w:id="162873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564180">
      <w:bodyDiv w:val="1"/>
      <w:marLeft w:val="0"/>
      <w:marRight w:val="0"/>
      <w:marTop w:val="0"/>
      <w:marBottom w:val="0"/>
      <w:divBdr>
        <w:top w:val="none" w:sz="0" w:space="0" w:color="auto"/>
        <w:left w:val="none" w:sz="0" w:space="0" w:color="auto"/>
        <w:bottom w:val="none" w:sz="0" w:space="0" w:color="auto"/>
        <w:right w:val="none" w:sz="0" w:space="0" w:color="auto"/>
      </w:divBdr>
      <w:divsChild>
        <w:div w:id="1787037315">
          <w:marLeft w:val="0"/>
          <w:marRight w:val="0"/>
          <w:marTop w:val="0"/>
          <w:marBottom w:val="0"/>
          <w:divBdr>
            <w:top w:val="none" w:sz="0" w:space="0" w:color="auto"/>
            <w:left w:val="none" w:sz="0" w:space="0" w:color="auto"/>
            <w:bottom w:val="none" w:sz="0" w:space="0" w:color="auto"/>
            <w:right w:val="none" w:sz="0" w:space="0" w:color="auto"/>
          </w:divBdr>
          <w:divsChild>
            <w:div w:id="185023383">
              <w:marLeft w:val="0"/>
              <w:marRight w:val="0"/>
              <w:marTop w:val="0"/>
              <w:marBottom w:val="0"/>
              <w:divBdr>
                <w:top w:val="none" w:sz="0" w:space="0" w:color="auto"/>
                <w:left w:val="none" w:sz="0" w:space="0" w:color="auto"/>
                <w:bottom w:val="none" w:sz="0" w:space="0" w:color="auto"/>
                <w:right w:val="none" w:sz="0" w:space="0" w:color="auto"/>
              </w:divBdr>
            </w:div>
            <w:div w:id="57397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464641">
      <w:bodyDiv w:val="1"/>
      <w:marLeft w:val="0"/>
      <w:marRight w:val="0"/>
      <w:marTop w:val="0"/>
      <w:marBottom w:val="0"/>
      <w:divBdr>
        <w:top w:val="none" w:sz="0" w:space="0" w:color="auto"/>
        <w:left w:val="none" w:sz="0" w:space="0" w:color="auto"/>
        <w:bottom w:val="none" w:sz="0" w:space="0" w:color="auto"/>
        <w:right w:val="none" w:sz="0" w:space="0" w:color="auto"/>
      </w:divBdr>
      <w:divsChild>
        <w:div w:id="358430594">
          <w:marLeft w:val="0"/>
          <w:marRight w:val="0"/>
          <w:marTop w:val="0"/>
          <w:marBottom w:val="75"/>
          <w:divBdr>
            <w:top w:val="none" w:sz="0" w:space="0" w:color="auto"/>
            <w:left w:val="none" w:sz="0" w:space="0" w:color="auto"/>
            <w:bottom w:val="none" w:sz="0" w:space="0" w:color="auto"/>
            <w:right w:val="none" w:sz="0" w:space="0" w:color="auto"/>
          </w:divBdr>
        </w:div>
        <w:div w:id="1407845240">
          <w:marLeft w:val="0"/>
          <w:marRight w:val="0"/>
          <w:marTop w:val="0"/>
          <w:marBottom w:val="0"/>
          <w:divBdr>
            <w:top w:val="none" w:sz="0" w:space="0" w:color="auto"/>
            <w:left w:val="none" w:sz="0" w:space="0" w:color="auto"/>
            <w:bottom w:val="none" w:sz="0" w:space="0" w:color="auto"/>
            <w:right w:val="none" w:sz="0" w:space="0" w:color="auto"/>
          </w:divBdr>
        </w:div>
        <w:div w:id="513037914">
          <w:marLeft w:val="0"/>
          <w:marRight w:val="0"/>
          <w:marTop w:val="75"/>
          <w:marBottom w:val="0"/>
          <w:divBdr>
            <w:top w:val="none" w:sz="0" w:space="0" w:color="auto"/>
            <w:left w:val="none" w:sz="0" w:space="0" w:color="auto"/>
            <w:bottom w:val="none" w:sz="0" w:space="0" w:color="auto"/>
            <w:right w:val="none" w:sz="0" w:space="0" w:color="auto"/>
          </w:divBdr>
        </w:div>
      </w:divsChild>
    </w:div>
    <w:div w:id="1840146858">
      <w:bodyDiv w:val="1"/>
      <w:marLeft w:val="0"/>
      <w:marRight w:val="0"/>
      <w:marTop w:val="0"/>
      <w:marBottom w:val="0"/>
      <w:divBdr>
        <w:top w:val="none" w:sz="0" w:space="0" w:color="auto"/>
        <w:left w:val="none" w:sz="0" w:space="0" w:color="auto"/>
        <w:bottom w:val="none" w:sz="0" w:space="0" w:color="auto"/>
        <w:right w:val="none" w:sz="0" w:space="0" w:color="auto"/>
      </w:divBdr>
      <w:divsChild>
        <w:div w:id="1579363429">
          <w:marLeft w:val="0"/>
          <w:marRight w:val="0"/>
          <w:marTop w:val="0"/>
          <w:marBottom w:val="0"/>
          <w:divBdr>
            <w:top w:val="none" w:sz="0" w:space="0" w:color="auto"/>
            <w:left w:val="none" w:sz="0" w:space="0" w:color="auto"/>
            <w:bottom w:val="none" w:sz="0" w:space="0" w:color="auto"/>
            <w:right w:val="none" w:sz="0" w:space="0" w:color="auto"/>
          </w:divBdr>
        </w:div>
        <w:div w:id="722797117">
          <w:marLeft w:val="0"/>
          <w:marRight w:val="0"/>
          <w:marTop w:val="0"/>
          <w:marBottom w:val="0"/>
          <w:divBdr>
            <w:top w:val="none" w:sz="0" w:space="0" w:color="auto"/>
            <w:left w:val="none" w:sz="0" w:space="0" w:color="auto"/>
            <w:bottom w:val="none" w:sz="0" w:space="0" w:color="auto"/>
            <w:right w:val="none" w:sz="0" w:space="0" w:color="auto"/>
          </w:divBdr>
        </w:div>
        <w:div w:id="2013219951">
          <w:marLeft w:val="0"/>
          <w:marRight w:val="0"/>
          <w:marTop w:val="0"/>
          <w:marBottom w:val="0"/>
          <w:divBdr>
            <w:top w:val="none" w:sz="0" w:space="0" w:color="auto"/>
            <w:left w:val="none" w:sz="0" w:space="0" w:color="auto"/>
            <w:bottom w:val="none" w:sz="0" w:space="0" w:color="auto"/>
            <w:right w:val="none" w:sz="0" w:space="0" w:color="auto"/>
          </w:divBdr>
        </w:div>
      </w:divsChild>
    </w:div>
    <w:div w:id="1850752396">
      <w:bodyDiv w:val="1"/>
      <w:marLeft w:val="0"/>
      <w:marRight w:val="0"/>
      <w:marTop w:val="0"/>
      <w:marBottom w:val="0"/>
      <w:divBdr>
        <w:top w:val="none" w:sz="0" w:space="0" w:color="auto"/>
        <w:left w:val="none" w:sz="0" w:space="0" w:color="auto"/>
        <w:bottom w:val="none" w:sz="0" w:space="0" w:color="auto"/>
        <w:right w:val="none" w:sz="0" w:space="0" w:color="auto"/>
      </w:divBdr>
      <w:divsChild>
        <w:div w:id="434909011">
          <w:marLeft w:val="0"/>
          <w:marRight w:val="0"/>
          <w:marTop w:val="0"/>
          <w:marBottom w:val="0"/>
          <w:divBdr>
            <w:top w:val="none" w:sz="0" w:space="0" w:color="auto"/>
            <w:left w:val="none" w:sz="0" w:space="0" w:color="auto"/>
            <w:bottom w:val="none" w:sz="0" w:space="0" w:color="auto"/>
            <w:right w:val="none" w:sz="0" w:space="0" w:color="auto"/>
          </w:divBdr>
        </w:div>
        <w:div w:id="630862728">
          <w:marLeft w:val="0"/>
          <w:marRight w:val="0"/>
          <w:marTop w:val="0"/>
          <w:marBottom w:val="0"/>
          <w:divBdr>
            <w:top w:val="none" w:sz="0" w:space="0" w:color="auto"/>
            <w:left w:val="none" w:sz="0" w:space="0" w:color="auto"/>
            <w:bottom w:val="none" w:sz="0" w:space="0" w:color="auto"/>
            <w:right w:val="none" w:sz="0" w:space="0" w:color="auto"/>
          </w:divBdr>
        </w:div>
      </w:divsChild>
    </w:div>
    <w:div w:id="1856186098">
      <w:bodyDiv w:val="1"/>
      <w:marLeft w:val="0"/>
      <w:marRight w:val="0"/>
      <w:marTop w:val="0"/>
      <w:marBottom w:val="0"/>
      <w:divBdr>
        <w:top w:val="none" w:sz="0" w:space="0" w:color="auto"/>
        <w:left w:val="none" w:sz="0" w:space="0" w:color="auto"/>
        <w:bottom w:val="none" w:sz="0" w:space="0" w:color="auto"/>
        <w:right w:val="none" w:sz="0" w:space="0" w:color="auto"/>
      </w:divBdr>
      <w:divsChild>
        <w:div w:id="855851712">
          <w:marLeft w:val="0"/>
          <w:marRight w:val="0"/>
          <w:marTop w:val="0"/>
          <w:marBottom w:val="75"/>
          <w:divBdr>
            <w:top w:val="none" w:sz="0" w:space="0" w:color="auto"/>
            <w:left w:val="none" w:sz="0" w:space="0" w:color="auto"/>
            <w:bottom w:val="none" w:sz="0" w:space="0" w:color="auto"/>
            <w:right w:val="none" w:sz="0" w:space="0" w:color="auto"/>
          </w:divBdr>
        </w:div>
        <w:div w:id="1567572172">
          <w:marLeft w:val="0"/>
          <w:marRight w:val="0"/>
          <w:marTop w:val="75"/>
          <w:marBottom w:val="0"/>
          <w:divBdr>
            <w:top w:val="none" w:sz="0" w:space="0" w:color="auto"/>
            <w:left w:val="none" w:sz="0" w:space="0" w:color="auto"/>
            <w:bottom w:val="none" w:sz="0" w:space="0" w:color="auto"/>
            <w:right w:val="none" w:sz="0" w:space="0" w:color="auto"/>
          </w:divBdr>
        </w:div>
      </w:divsChild>
    </w:div>
    <w:div w:id="1881283176">
      <w:bodyDiv w:val="1"/>
      <w:marLeft w:val="0"/>
      <w:marRight w:val="0"/>
      <w:marTop w:val="0"/>
      <w:marBottom w:val="0"/>
      <w:divBdr>
        <w:top w:val="none" w:sz="0" w:space="0" w:color="auto"/>
        <w:left w:val="none" w:sz="0" w:space="0" w:color="auto"/>
        <w:bottom w:val="none" w:sz="0" w:space="0" w:color="auto"/>
        <w:right w:val="none" w:sz="0" w:space="0" w:color="auto"/>
      </w:divBdr>
      <w:divsChild>
        <w:div w:id="580021026">
          <w:marLeft w:val="0"/>
          <w:marRight w:val="0"/>
          <w:marTop w:val="0"/>
          <w:marBottom w:val="75"/>
          <w:divBdr>
            <w:top w:val="none" w:sz="0" w:space="0" w:color="auto"/>
            <w:left w:val="none" w:sz="0" w:space="0" w:color="auto"/>
            <w:bottom w:val="none" w:sz="0" w:space="0" w:color="auto"/>
            <w:right w:val="none" w:sz="0" w:space="0" w:color="auto"/>
          </w:divBdr>
        </w:div>
        <w:div w:id="1525703994">
          <w:marLeft w:val="0"/>
          <w:marRight w:val="0"/>
          <w:marTop w:val="0"/>
          <w:marBottom w:val="0"/>
          <w:divBdr>
            <w:top w:val="none" w:sz="0" w:space="0" w:color="auto"/>
            <w:left w:val="none" w:sz="0" w:space="0" w:color="auto"/>
            <w:bottom w:val="none" w:sz="0" w:space="0" w:color="auto"/>
            <w:right w:val="none" w:sz="0" w:space="0" w:color="auto"/>
          </w:divBdr>
        </w:div>
        <w:div w:id="49229156">
          <w:marLeft w:val="0"/>
          <w:marRight w:val="0"/>
          <w:marTop w:val="75"/>
          <w:marBottom w:val="0"/>
          <w:divBdr>
            <w:top w:val="none" w:sz="0" w:space="0" w:color="auto"/>
            <w:left w:val="none" w:sz="0" w:space="0" w:color="auto"/>
            <w:bottom w:val="none" w:sz="0" w:space="0" w:color="auto"/>
            <w:right w:val="none" w:sz="0" w:space="0" w:color="auto"/>
          </w:divBdr>
        </w:div>
      </w:divsChild>
    </w:div>
    <w:div w:id="1885365224">
      <w:bodyDiv w:val="1"/>
      <w:marLeft w:val="0"/>
      <w:marRight w:val="0"/>
      <w:marTop w:val="0"/>
      <w:marBottom w:val="0"/>
      <w:divBdr>
        <w:top w:val="none" w:sz="0" w:space="0" w:color="auto"/>
        <w:left w:val="none" w:sz="0" w:space="0" w:color="auto"/>
        <w:bottom w:val="none" w:sz="0" w:space="0" w:color="auto"/>
        <w:right w:val="none" w:sz="0" w:space="0" w:color="auto"/>
      </w:divBdr>
      <w:divsChild>
        <w:div w:id="143663700">
          <w:marLeft w:val="0"/>
          <w:marRight w:val="0"/>
          <w:marTop w:val="0"/>
          <w:marBottom w:val="75"/>
          <w:divBdr>
            <w:top w:val="none" w:sz="0" w:space="0" w:color="auto"/>
            <w:left w:val="none" w:sz="0" w:space="0" w:color="auto"/>
            <w:bottom w:val="none" w:sz="0" w:space="0" w:color="auto"/>
            <w:right w:val="none" w:sz="0" w:space="0" w:color="auto"/>
          </w:divBdr>
        </w:div>
        <w:div w:id="835538020">
          <w:marLeft w:val="0"/>
          <w:marRight w:val="0"/>
          <w:marTop w:val="0"/>
          <w:marBottom w:val="0"/>
          <w:divBdr>
            <w:top w:val="none" w:sz="0" w:space="0" w:color="auto"/>
            <w:left w:val="none" w:sz="0" w:space="0" w:color="auto"/>
            <w:bottom w:val="none" w:sz="0" w:space="0" w:color="auto"/>
            <w:right w:val="none" w:sz="0" w:space="0" w:color="auto"/>
          </w:divBdr>
        </w:div>
        <w:div w:id="1018656175">
          <w:marLeft w:val="0"/>
          <w:marRight w:val="0"/>
          <w:marTop w:val="75"/>
          <w:marBottom w:val="0"/>
          <w:divBdr>
            <w:top w:val="none" w:sz="0" w:space="0" w:color="auto"/>
            <w:left w:val="none" w:sz="0" w:space="0" w:color="auto"/>
            <w:bottom w:val="none" w:sz="0" w:space="0" w:color="auto"/>
            <w:right w:val="none" w:sz="0" w:space="0" w:color="auto"/>
          </w:divBdr>
        </w:div>
      </w:divsChild>
    </w:div>
    <w:div w:id="1889295085">
      <w:bodyDiv w:val="1"/>
      <w:marLeft w:val="0"/>
      <w:marRight w:val="0"/>
      <w:marTop w:val="0"/>
      <w:marBottom w:val="0"/>
      <w:divBdr>
        <w:top w:val="none" w:sz="0" w:space="0" w:color="auto"/>
        <w:left w:val="none" w:sz="0" w:space="0" w:color="auto"/>
        <w:bottom w:val="none" w:sz="0" w:space="0" w:color="auto"/>
        <w:right w:val="none" w:sz="0" w:space="0" w:color="auto"/>
      </w:divBdr>
      <w:divsChild>
        <w:div w:id="398989240">
          <w:marLeft w:val="0"/>
          <w:marRight w:val="0"/>
          <w:marTop w:val="0"/>
          <w:marBottom w:val="0"/>
          <w:divBdr>
            <w:top w:val="none" w:sz="0" w:space="0" w:color="auto"/>
            <w:left w:val="none" w:sz="0" w:space="0" w:color="auto"/>
            <w:bottom w:val="none" w:sz="0" w:space="0" w:color="auto"/>
            <w:right w:val="none" w:sz="0" w:space="0" w:color="auto"/>
          </w:divBdr>
          <w:divsChild>
            <w:div w:id="669068000">
              <w:marLeft w:val="0"/>
              <w:marRight w:val="0"/>
              <w:marTop w:val="0"/>
              <w:marBottom w:val="0"/>
              <w:divBdr>
                <w:top w:val="none" w:sz="0" w:space="0" w:color="auto"/>
                <w:left w:val="none" w:sz="0" w:space="0" w:color="auto"/>
                <w:bottom w:val="none" w:sz="0" w:space="0" w:color="auto"/>
                <w:right w:val="none" w:sz="0" w:space="0" w:color="auto"/>
              </w:divBdr>
            </w:div>
            <w:div w:id="151187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28802">
      <w:bodyDiv w:val="1"/>
      <w:marLeft w:val="0"/>
      <w:marRight w:val="0"/>
      <w:marTop w:val="0"/>
      <w:marBottom w:val="0"/>
      <w:divBdr>
        <w:top w:val="none" w:sz="0" w:space="0" w:color="auto"/>
        <w:left w:val="none" w:sz="0" w:space="0" w:color="auto"/>
        <w:bottom w:val="none" w:sz="0" w:space="0" w:color="auto"/>
        <w:right w:val="none" w:sz="0" w:space="0" w:color="auto"/>
      </w:divBdr>
      <w:divsChild>
        <w:div w:id="2081293477">
          <w:marLeft w:val="0"/>
          <w:marRight w:val="0"/>
          <w:marTop w:val="0"/>
          <w:marBottom w:val="75"/>
          <w:divBdr>
            <w:top w:val="none" w:sz="0" w:space="0" w:color="auto"/>
            <w:left w:val="none" w:sz="0" w:space="0" w:color="auto"/>
            <w:bottom w:val="none" w:sz="0" w:space="0" w:color="auto"/>
            <w:right w:val="none" w:sz="0" w:space="0" w:color="auto"/>
          </w:divBdr>
        </w:div>
        <w:div w:id="1135634649">
          <w:marLeft w:val="0"/>
          <w:marRight w:val="0"/>
          <w:marTop w:val="75"/>
          <w:marBottom w:val="0"/>
          <w:divBdr>
            <w:top w:val="none" w:sz="0" w:space="0" w:color="auto"/>
            <w:left w:val="none" w:sz="0" w:space="0" w:color="auto"/>
            <w:bottom w:val="none" w:sz="0" w:space="0" w:color="auto"/>
            <w:right w:val="none" w:sz="0" w:space="0" w:color="auto"/>
          </w:divBdr>
        </w:div>
      </w:divsChild>
    </w:div>
    <w:div w:id="1946958876">
      <w:bodyDiv w:val="1"/>
      <w:marLeft w:val="0"/>
      <w:marRight w:val="0"/>
      <w:marTop w:val="0"/>
      <w:marBottom w:val="0"/>
      <w:divBdr>
        <w:top w:val="none" w:sz="0" w:space="0" w:color="auto"/>
        <w:left w:val="none" w:sz="0" w:space="0" w:color="auto"/>
        <w:bottom w:val="none" w:sz="0" w:space="0" w:color="auto"/>
        <w:right w:val="none" w:sz="0" w:space="0" w:color="auto"/>
      </w:divBdr>
    </w:div>
    <w:div w:id="1964769289">
      <w:bodyDiv w:val="1"/>
      <w:marLeft w:val="0"/>
      <w:marRight w:val="0"/>
      <w:marTop w:val="0"/>
      <w:marBottom w:val="0"/>
      <w:divBdr>
        <w:top w:val="none" w:sz="0" w:space="0" w:color="auto"/>
        <w:left w:val="none" w:sz="0" w:space="0" w:color="auto"/>
        <w:bottom w:val="none" w:sz="0" w:space="0" w:color="auto"/>
        <w:right w:val="none" w:sz="0" w:space="0" w:color="auto"/>
      </w:divBdr>
      <w:divsChild>
        <w:div w:id="480461996">
          <w:marLeft w:val="0"/>
          <w:marRight w:val="0"/>
          <w:marTop w:val="0"/>
          <w:marBottom w:val="75"/>
          <w:divBdr>
            <w:top w:val="none" w:sz="0" w:space="0" w:color="auto"/>
            <w:left w:val="none" w:sz="0" w:space="0" w:color="auto"/>
            <w:bottom w:val="none" w:sz="0" w:space="0" w:color="auto"/>
            <w:right w:val="none" w:sz="0" w:space="0" w:color="auto"/>
          </w:divBdr>
        </w:div>
        <w:div w:id="750005615">
          <w:marLeft w:val="0"/>
          <w:marRight w:val="0"/>
          <w:marTop w:val="0"/>
          <w:marBottom w:val="0"/>
          <w:divBdr>
            <w:top w:val="none" w:sz="0" w:space="0" w:color="auto"/>
            <w:left w:val="none" w:sz="0" w:space="0" w:color="auto"/>
            <w:bottom w:val="none" w:sz="0" w:space="0" w:color="auto"/>
            <w:right w:val="none" w:sz="0" w:space="0" w:color="auto"/>
          </w:divBdr>
        </w:div>
        <w:div w:id="561064379">
          <w:marLeft w:val="0"/>
          <w:marRight w:val="0"/>
          <w:marTop w:val="75"/>
          <w:marBottom w:val="0"/>
          <w:divBdr>
            <w:top w:val="none" w:sz="0" w:space="0" w:color="auto"/>
            <w:left w:val="none" w:sz="0" w:space="0" w:color="auto"/>
            <w:bottom w:val="none" w:sz="0" w:space="0" w:color="auto"/>
            <w:right w:val="none" w:sz="0" w:space="0" w:color="auto"/>
          </w:divBdr>
        </w:div>
      </w:divsChild>
    </w:div>
    <w:div w:id="1969503353">
      <w:bodyDiv w:val="1"/>
      <w:marLeft w:val="0"/>
      <w:marRight w:val="0"/>
      <w:marTop w:val="0"/>
      <w:marBottom w:val="0"/>
      <w:divBdr>
        <w:top w:val="none" w:sz="0" w:space="0" w:color="auto"/>
        <w:left w:val="none" w:sz="0" w:space="0" w:color="auto"/>
        <w:bottom w:val="none" w:sz="0" w:space="0" w:color="auto"/>
        <w:right w:val="none" w:sz="0" w:space="0" w:color="auto"/>
      </w:divBdr>
      <w:divsChild>
        <w:div w:id="906188953">
          <w:marLeft w:val="0"/>
          <w:marRight w:val="0"/>
          <w:marTop w:val="0"/>
          <w:marBottom w:val="0"/>
          <w:divBdr>
            <w:top w:val="none" w:sz="0" w:space="0" w:color="auto"/>
            <w:left w:val="none" w:sz="0" w:space="0" w:color="auto"/>
            <w:bottom w:val="none" w:sz="0" w:space="0" w:color="auto"/>
            <w:right w:val="none" w:sz="0" w:space="0" w:color="auto"/>
          </w:divBdr>
          <w:divsChild>
            <w:div w:id="1910268544">
              <w:marLeft w:val="0"/>
              <w:marRight w:val="0"/>
              <w:marTop w:val="0"/>
              <w:marBottom w:val="0"/>
              <w:divBdr>
                <w:top w:val="none" w:sz="0" w:space="0" w:color="auto"/>
                <w:left w:val="none" w:sz="0" w:space="0" w:color="auto"/>
                <w:bottom w:val="none" w:sz="0" w:space="0" w:color="auto"/>
                <w:right w:val="none" w:sz="0" w:space="0" w:color="auto"/>
              </w:divBdr>
            </w:div>
            <w:div w:id="172197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788641">
      <w:bodyDiv w:val="1"/>
      <w:marLeft w:val="0"/>
      <w:marRight w:val="0"/>
      <w:marTop w:val="0"/>
      <w:marBottom w:val="0"/>
      <w:divBdr>
        <w:top w:val="none" w:sz="0" w:space="0" w:color="auto"/>
        <w:left w:val="none" w:sz="0" w:space="0" w:color="auto"/>
        <w:bottom w:val="none" w:sz="0" w:space="0" w:color="auto"/>
        <w:right w:val="none" w:sz="0" w:space="0" w:color="auto"/>
      </w:divBdr>
    </w:div>
    <w:div w:id="1984118704">
      <w:bodyDiv w:val="1"/>
      <w:marLeft w:val="0"/>
      <w:marRight w:val="0"/>
      <w:marTop w:val="0"/>
      <w:marBottom w:val="0"/>
      <w:divBdr>
        <w:top w:val="none" w:sz="0" w:space="0" w:color="auto"/>
        <w:left w:val="none" w:sz="0" w:space="0" w:color="auto"/>
        <w:bottom w:val="none" w:sz="0" w:space="0" w:color="auto"/>
        <w:right w:val="none" w:sz="0" w:space="0" w:color="auto"/>
      </w:divBdr>
      <w:divsChild>
        <w:div w:id="1657415429">
          <w:marLeft w:val="0"/>
          <w:marRight w:val="0"/>
          <w:marTop w:val="0"/>
          <w:marBottom w:val="75"/>
          <w:divBdr>
            <w:top w:val="none" w:sz="0" w:space="0" w:color="auto"/>
            <w:left w:val="none" w:sz="0" w:space="0" w:color="auto"/>
            <w:bottom w:val="none" w:sz="0" w:space="0" w:color="auto"/>
            <w:right w:val="none" w:sz="0" w:space="0" w:color="auto"/>
          </w:divBdr>
        </w:div>
        <w:div w:id="162355363">
          <w:marLeft w:val="0"/>
          <w:marRight w:val="0"/>
          <w:marTop w:val="75"/>
          <w:marBottom w:val="0"/>
          <w:divBdr>
            <w:top w:val="none" w:sz="0" w:space="0" w:color="auto"/>
            <w:left w:val="none" w:sz="0" w:space="0" w:color="auto"/>
            <w:bottom w:val="none" w:sz="0" w:space="0" w:color="auto"/>
            <w:right w:val="none" w:sz="0" w:space="0" w:color="auto"/>
          </w:divBdr>
        </w:div>
      </w:divsChild>
    </w:div>
    <w:div w:id="1986815335">
      <w:bodyDiv w:val="1"/>
      <w:marLeft w:val="0"/>
      <w:marRight w:val="0"/>
      <w:marTop w:val="0"/>
      <w:marBottom w:val="0"/>
      <w:divBdr>
        <w:top w:val="none" w:sz="0" w:space="0" w:color="auto"/>
        <w:left w:val="none" w:sz="0" w:space="0" w:color="auto"/>
        <w:bottom w:val="none" w:sz="0" w:space="0" w:color="auto"/>
        <w:right w:val="none" w:sz="0" w:space="0" w:color="auto"/>
      </w:divBdr>
      <w:divsChild>
        <w:div w:id="1789355611">
          <w:marLeft w:val="0"/>
          <w:marRight w:val="0"/>
          <w:marTop w:val="0"/>
          <w:marBottom w:val="75"/>
          <w:divBdr>
            <w:top w:val="none" w:sz="0" w:space="0" w:color="auto"/>
            <w:left w:val="none" w:sz="0" w:space="0" w:color="auto"/>
            <w:bottom w:val="none" w:sz="0" w:space="0" w:color="auto"/>
            <w:right w:val="none" w:sz="0" w:space="0" w:color="auto"/>
          </w:divBdr>
        </w:div>
        <w:div w:id="1679431871">
          <w:marLeft w:val="0"/>
          <w:marRight w:val="0"/>
          <w:marTop w:val="75"/>
          <w:marBottom w:val="0"/>
          <w:divBdr>
            <w:top w:val="none" w:sz="0" w:space="0" w:color="auto"/>
            <w:left w:val="none" w:sz="0" w:space="0" w:color="auto"/>
            <w:bottom w:val="none" w:sz="0" w:space="0" w:color="auto"/>
            <w:right w:val="none" w:sz="0" w:space="0" w:color="auto"/>
          </w:divBdr>
        </w:div>
      </w:divsChild>
    </w:div>
    <w:div w:id="1987778840">
      <w:bodyDiv w:val="1"/>
      <w:marLeft w:val="0"/>
      <w:marRight w:val="0"/>
      <w:marTop w:val="0"/>
      <w:marBottom w:val="0"/>
      <w:divBdr>
        <w:top w:val="none" w:sz="0" w:space="0" w:color="auto"/>
        <w:left w:val="none" w:sz="0" w:space="0" w:color="auto"/>
        <w:bottom w:val="none" w:sz="0" w:space="0" w:color="auto"/>
        <w:right w:val="none" w:sz="0" w:space="0" w:color="auto"/>
      </w:divBdr>
      <w:divsChild>
        <w:div w:id="1957174827">
          <w:marLeft w:val="0"/>
          <w:marRight w:val="0"/>
          <w:marTop w:val="0"/>
          <w:marBottom w:val="0"/>
          <w:divBdr>
            <w:top w:val="none" w:sz="0" w:space="0" w:color="auto"/>
            <w:left w:val="none" w:sz="0" w:space="0" w:color="auto"/>
            <w:bottom w:val="none" w:sz="0" w:space="0" w:color="auto"/>
            <w:right w:val="none" w:sz="0" w:space="0" w:color="auto"/>
          </w:divBdr>
          <w:divsChild>
            <w:div w:id="1356037520">
              <w:marLeft w:val="0"/>
              <w:marRight w:val="0"/>
              <w:marTop w:val="0"/>
              <w:marBottom w:val="0"/>
              <w:divBdr>
                <w:top w:val="none" w:sz="0" w:space="0" w:color="auto"/>
                <w:left w:val="none" w:sz="0" w:space="0" w:color="auto"/>
                <w:bottom w:val="none" w:sz="0" w:space="0" w:color="auto"/>
                <w:right w:val="none" w:sz="0" w:space="0" w:color="auto"/>
              </w:divBdr>
            </w:div>
            <w:div w:id="419496536">
              <w:marLeft w:val="0"/>
              <w:marRight w:val="0"/>
              <w:marTop w:val="0"/>
              <w:marBottom w:val="0"/>
              <w:divBdr>
                <w:top w:val="none" w:sz="0" w:space="0" w:color="auto"/>
                <w:left w:val="none" w:sz="0" w:space="0" w:color="auto"/>
                <w:bottom w:val="none" w:sz="0" w:space="0" w:color="auto"/>
                <w:right w:val="none" w:sz="0" w:space="0" w:color="auto"/>
              </w:divBdr>
            </w:div>
          </w:divsChild>
        </w:div>
        <w:div w:id="1644848935">
          <w:marLeft w:val="0"/>
          <w:marRight w:val="0"/>
          <w:marTop w:val="0"/>
          <w:marBottom w:val="0"/>
          <w:divBdr>
            <w:top w:val="none" w:sz="0" w:space="0" w:color="auto"/>
            <w:left w:val="none" w:sz="0" w:space="0" w:color="auto"/>
            <w:bottom w:val="none" w:sz="0" w:space="0" w:color="auto"/>
            <w:right w:val="none" w:sz="0" w:space="0" w:color="auto"/>
          </w:divBdr>
          <w:divsChild>
            <w:div w:id="1717126206">
              <w:marLeft w:val="0"/>
              <w:marRight w:val="0"/>
              <w:marTop w:val="0"/>
              <w:marBottom w:val="0"/>
              <w:divBdr>
                <w:top w:val="none" w:sz="0" w:space="0" w:color="auto"/>
                <w:left w:val="none" w:sz="0" w:space="0" w:color="auto"/>
                <w:bottom w:val="none" w:sz="0" w:space="0" w:color="auto"/>
                <w:right w:val="none" w:sz="0" w:space="0" w:color="auto"/>
              </w:divBdr>
            </w:div>
            <w:div w:id="77012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398021">
      <w:bodyDiv w:val="1"/>
      <w:marLeft w:val="0"/>
      <w:marRight w:val="0"/>
      <w:marTop w:val="0"/>
      <w:marBottom w:val="0"/>
      <w:divBdr>
        <w:top w:val="none" w:sz="0" w:space="0" w:color="auto"/>
        <w:left w:val="none" w:sz="0" w:space="0" w:color="auto"/>
        <w:bottom w:val="none" w:sz="0" w:space="0" w:color="auto"/>
        <w:right w:val="none" w:sz="0" w:space="0" w:color="auto"/>
      </w:divBdr>
      <w:divsChild>
        <w:div w:id="1857815141">
          <w:marLeft w:val="0"/>
          <w:marRight w:val="0"/>
          <w:marTop w:val="0"/>
          <w:marBottom w:val="0"/>
          <w:divBdr>
            <w:top w:val="none" w:sz="0" w:space="0" w:color="auto"/>
            <w:left w:val="none" w:sz="0" w:space="0" w:color="auto"/>
            <w:bottom w:val="none" w:sz="0" w:space="0" w:color="auto"/>
            <w:right w:val="none" w:sz="0" w:space="0" w:color="auto"/>
          </w:divBdr>
          <w:divsChild>
            <w:div w:id="1000473124">
              <w:marLeft w:val="0"/>
              <w:marRight w:val="0"/>
              <w:marTop w:val="0"/>
              <w:marBottom w:val="0"/>
              <w:divBdr>
                <w:top w:val="none" w:sz="0" w:space="0" w:color="auto"/>
                <w:left w:val="none" w:sz="0" w:space="0" w:color="auto"/>
                <w:bottom w:val="none" w:sz="0" w:space="0" w:color="auto"/>
                <w:right w:val="none" w:sz="0" w:space="0" w:color="auto"/>
              </w:divBdr>
            </w:div>
            <w:div w:id="66763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756679">
      <w:bodyDiv w:val="1"/>
      <w:marLeft w:val="0"/>
      <w:marRight w:val="0"/>
      <w:marTop w:val="0"/>
      <w:marBottom w:val="0"/>
      <w:divBdr>
        <w:top w:val="none" w:sz="0" w:space="0" w:color="auto"/>
        <w:left w:val="none" w:sz="0" w:space="0" w:color="auto"/>
        <w:bottom w:val="none" w:sz="0" w:space="0" w:color="auto"/>
        <w:right w:val="none" w:sz="0" w:space="0" w:color="auto"/>
      </w:divBdr>
      <w:divsChild>
        <w:div w:id="1494447986">
          <w:marLeft w:val="0"/>
          <w:marRight w:val="0"/>
          <w:marTop w:val="0"/>
          <w:marBottom w:val="75"/>
          <w:divBdr>
            <w:top w:val="none" w:sz="0" w:space="0" w:color="auto"/>
            <w:left w:val="none" w:sz="0" w:space="0" w:color="auto"/>
            <w:bottom w:val="none" w:sz="0" w:space="0" w:color="auto"/>
            <w:right w:val="none" w:sz="0" w:space="0" w:color="auto"/>
          </w:divBdr>
        </w:div>
      </w:divsChild>
    </w:div>
    <w:div w:id="2012833025">
      <w:bodyDiv w:val="1"/>
      <w:marLeft w:val="0"/>
      <w:marRight w:val="0"/>
      <w:marTop w:val="0"/>
      <w:marBottom w:val="0"/>
      <w:divBdr>
        <w:top w:val="none" w:sz="0" w:space="0" w:color="auto"/>
        <w:left w:val="none" w:sz="0" w:space="0" w:color="auto"/>
        <w:bottom w:val="none" w:sz="0" w:space="0" w:color="auto"/>
        <w:right w:val="none" w:sz="0" w:space="0" w:color="auto"/>
      </w:divBdr>
      <w:divsChild>
        <w:div w:id="1813671073">
          <w:marLeft w:val="0"/>
          <w:marRight w:val="0"/>
          <w:marTop w:val="0"/>
          <w:marBottom w:val="0"/>
          <w:divBdr>
            <w:top w:val="none" w:sz="0" w:space="0" w:color="auto"/>
            <w:left w:val="none" w:sz="0" w:space="0" w:color="auto"/>
            <w:bottom w:val="none" w:sz="0" w:space="0" w:color="auto"/>
            <w:right w:val="none" w:sz="0" w:space="0" w:color="auto"/>
          </w:divBdr>
        </w:div>
      </w:divsChild>
    </w:div>
    <w:div w:id="2014449915">
      <w:bodyDiv w:val="1"/>
      <w:marLeft w:val="0"/>
      <w:marRight w:val="0"/>
      <w:marTop w:val="0"/>
      <w:marBottom w:val="0"/>
      <w:divBdr>
        <w:top w:val="none" w:sz="0" w:space="0" w:color="auto"/>
        <w:left w:val="none" w:sz="0" w:space="0" w:color="auto"/>
        <w:bottom w:val="none" w:sz="0" w:space="0" w:color="auto"/>
        <w:right w:val="none" w:sz="0" w:space="0" w:color="auto"/>
      </w:divBdr>
      <w:divsChild>
        <w:div w:id="856891033">
          <w:marLeft w:val="0"/>
          <w:marRight w:val="0"/>
          <w:marTop w:val="0"/>
          <w:marBottom w:val="450"/>
          <w:divBdr>
            <w:top w:val="none" w:sz="0" w:space="0" w:color="auto"/>
            <w:left w:val="none" w:sz="0" w:space="0" w:color="auto"/>
            <w:bottom w:val="none" w:sz="0" w:space="0" w:color="auto"/>
            <w:right w:val="none" w:sz="0" w:space="0" w:color="auto"/>
          </w:divBdr>
        </w:div>
        <w:div w:id="1641573000">
          <w:marLeft w:val="0"/>
          <w:marRight w:val="0"/>
          <w:marTop w:val="0"/>
          <w:marBottom w:val="0"/>
          <w:divBdr>
            <w:top w:val="none" w:sz="0" w:space="0" w:color="auto"/>
            <w:left w:val="none" w:sz="0" w:space="0" w:color="auto"/>
            <w:bottom w:val="none" w:sz="0" w:space="0" w:color="auto"/>
            <w:right w:val="none" w:sz="0" w:space="0" w:color="auto"/>
          </w:divBdr>
        </w:div>
        <w:div w:id="90898514">
          <w:marLeft w:val="0"/>
          <w:marRight w:val="0"/>
          <w:marTop w:val="0"/>
          <w:marBottom w:val="0"/>
          <w:divBdr>
            <w:top w:val="none" w:sz="0" w:space="0" w:color="auto"/>
            <w:left w:val="none" w:sz="0" w:space="0" w:color="auto"/>
            <w:bottom w:val="none" w:sz="0" w:space="0" w:color="auto"/>
            <w:right w:val="none" w:sz="0" w:space="0" w:color="auto"/>
          </w:divBdr>
        </w:div>
        <w:div w:id="1129590914">
          <w:marLeft w:val="0"/>
          <w:marRight w:val="0"/>
          <w:marTop w:val="0"/>
          <w:marBottom w:val="0"/>
          <w:divBdr>
            <w:top w:val="none" w:sz="0" w:space="0" w:color="auto"/>
            <w:left w:val="none" w:sz="0" w:space="0" w:color="auto"/>
            <w:bottom w:val="none" w:sz="0" w:space="0" w:color="auto"/>
            <w:right w:val="none" w:sz="0" w:space="0" w:color="auto"/>
          </w:divBdr>
        </w:div>
      </w:divsChild>
    </w:div>
    <w:div w:id="2017538433">
      <w:bodyDiv w:val="1"/>
      <w:marLeft w:val="0"/>
      <w:marRight w:val="0"/>
      <w:marTop w:val="0"/>
      <w:marBottom w:val="0"/>
      <w:divBdr>
        <w:top w:val="none" w:sz="0" w:space="0" w:color="auto"/>
        <w:left w:val="none" w:sz="0" w:space="0" w:color="auto"/>
        <w:bottom w:val="none" w:sz="0" w:space="0" w:color="auto"/>
        <w:right w:val="none" w:sz="0" w:space="0" w:color="auto"/>
      </w:divBdr>
      <w:divsChild>
        <w:div w:id="1132986968">
          <w:marLeft w:val="0"/>
          <w:marRight w:val="0"/>
          <w:marTop w:val="0"/>
          <w:marBottom w:val="0"/>
          <w:divBdr>
            <w:top w:val="none" w:sz="0" w:space="0" w:color="auto"/>
            <w:left w:val="none" w:sz="0" w:space="0" w:color="auto"/>
            <w:bottom w:val="none" w:sz="0" w:space="0" w:color="auto"/>
            <w:right w:val="none" w:sz="0" w:space="0" w:color="auto"/>
          </w:divBdr>
        </w:div>
      </w:divsChild>
    </w:div>
    <w:div w:id="2040473196">
      <w:bodyDiv w:val="1"/>
      <w:marLeft w:val="0"/>
      <w:marRight w:val="0"/>
      <w:marTop w:val="0"/>
      <w:marBottom w:val="0"/>
      <w:divBdr>
        <w:top w:val="none" w:sz="0" w:space="0" w:color="auto"/>
        <w:left w:val="none" w:sz="0" w:space="0" w:color="auto"/>
        <w:bottom w:val="none" w:sz="0" w:space="0" w:color="auto"/>
        <w:right w:val="none" w:sz="0" w:space="0" w:color="auto"/>
      </w:divBdr>
      <w:divsChild>
        <w:div w:id="1103114406">
          <w:marLeft w:val="0"/>
          <w:marRight w:val="0"/>
          <w:marTop w:val="0"/>
          <w:marBottom w:val="0"/>
          <w:divBdr>
            <w:top w:val="none" w:sz="0" w:space="0" w:color="auto"/>
            <w:left w:val="none" w:sz="0" w:space="0" w:color="auto"/>
            <w:bottom w:val="none" w:sz="0" w:space="0" w:color="auto"/>
            <w:right w:val="none" w:sz="0" w:space="0" w:color="auto"/>
          </w:divBdr>
        </w:div>
        <w:div w:id="1850438329">
          <w:marLeft w:val="0"/>
          <w:marRight w:val="0"/>
          <w:marTop w:val="0"/>
          <w:marBottom w:val="0"/>
          <w:divBdr>
            <w:top w:val="none" w:sz="0" w:space="0" w:color="auto"/>
            <w:left w:val="none" w:sz="0" w:space="0" w:color="auto"/>
            <w:bottom w:val="none" w:sz="0" w:space="0" w:color="auto"/>
            <w:right w:val="none" w:sz="0" w:space="0" w:color="auto"/>
          </w:divBdr>
        </w:div>
        <w:div w:id="1302231959">
          <w:marLeft w:val="0"/>
          <w:marRight w:val="0"/>
          <w:marTop w:val="0"/>
          <w:marBottom w:val="0"/>
          <w:divBdr>
            <w:top w:val="none" w:sz="0" w:space="0" w:color="auto"/>
            <w:left w:val="none" w:sz="0" w:space="0" w:color="auto"/>
            <w:bottom w:val="none" w:sz="0" w:space="0" w:color="auto"/>
            <w:right w:val="none" w:sz="0" w:space="0" w:color="auto"/>
          </w:divBdr>
        </w:div>
      </w:divsChild>
    </w:div>
    <w:div w:id="2053454707">
      <w:bodyDiv w:val="1"/>
      <w:marLeft w:val="0"/>
      <w:marRight w:val="0"/>
      <w:marTop w:val="0"/>
      <w:marBottom w:val="0"/>
      <w:divBdr>
        <w:top w:val="none" w:sz="0" w:space="0" w:color="auto"/>
        <w:left w:val="none" w:sz="0" w:space="0" w:color="auto"/>
        <w:bottom w:val="none" w:sz="0" w:space="0" w:color="auto"/>
        <w:right w:val="none" w:sz="0" w:space="0" w:color="auto"/>
      </w:divBdr>
      <w:divsChild>
        <w:div w:id="92090064">
          <w:marLeft w:val="0"/>
          <w:marRight w:val="0"/>
          <w:marTop w:val="0"/>
          <w:marBottom w:val="0"/>
          <w:divBdr>
            <w:top w:val="none" w:sz="0" w:space="0" w:color="auto"/>
            <w:left w:val="none" w:sz="0" w:space="0" w:color="auto"/>
            <w:bottom w:val="none" w:sz="0" w:space="0" w:color="auto"/>
            <w:right w:val="none" w:sz="0" w:space="0" w:color="auto"/>
          </w:divBdr>
          <w:divsChild>
            <w:div w:id="430786137">
              <w:marLeft w:val="0"/>
              <w:marRight w:val="0"/>
              <w:marTop w:val="0"/>
              <w:marBottom w:val="0"/>
              <w:divBdr>
                <w:top w:val="none" w:sz="0" w:space="0" w:color="auto"/>
                <w:left w:val="none" w:sz="0" w:space="0" w:color="auto"/>
                <w:bottom w:val="none" w:sz="0" w:space="0" w:color="auto"/>
                <w:right w:val="none" w:sz="0" w:space="0" w:color="auto"/>
              </w:divBdr>
            </w:div>
            <w:div w:id="162550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212234">
      <w:bodyDiv w:val="1"/>
      <w:marLeft w:val="0"/>
      <w:marRight w:val="0"/>
      <w:marTop w:val="0"/>
      <w:marBottom w:val="0"/>
      <w:divBdr>
        <w:top w:val="none" w:sz="0" w:space="0" w:color="auto"/>
        <w:left w:val="none" w:sz="0" w:space="0" w:color="auto"/>
        <w:bottom w:val="none" w:sz="0" w:space="0" w:color="auto"/>
        <w:right w:val="none" w:sz="0" w:space="0" w:color="auto"/>
      </w:divBdr>
      <w:divsChild>
        <w:div w:id="1709378140">
          <w:marLeft w:val="0"/>
          <w:marRight w:val="0"/>
          <w:marTop w:val="0"/>
          <w:marBottom w:val="0"/>
          <w:divBdr>
            <w:top w:val="none" w:sz="0" w:space="0" w:color="auto"/>
            <w:left w:val="none" w:sz="0" w:space="0" w:color="auto"/>
            <w:bottom w:val="none" w:sz="0" w:space="0" w:color="auto"/>
            <w:right w:val="none" w:sz="0" w:space="0" w:color="auto"/>
          </w:divBdr>
          <w:divsChild>
            <w:div w:id="1195538675">
              <w:marLeft w:val="0"/>
              <w:marRight w:val="0"/>
              <w:marTop w:val="0"/>
              <w:marBottom w:val="0"/>
              <w:divBdr>
                <w:top w:val="none" w:sz="0" w:space="0" w:color="auto"/>
                <w:left w:val="none" w:sz="0" w:space="0" w:color="auto"/>
                <w:bottom w:val="none" w:sz="0" w:space="0" w:color="auto"/>
                <w:right w:val="none" w:sz="0" w:space="0" w:color="auto"/>
              </w:divBdr>
            </w:div>
            <w:div w:id="99634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808559">
      <w:bodyDiv w:val="1"/>
      <w:marLeft w:val="0"/>
      <w:marRight w:val="0"/>
      <w:marTop w:val="0"/>
      <w:marBottom w:val="0"/>
      <w:divBdr>
        <w:top w:val="none" w:sz="0" w:space="0" w:color="auto"/>
        <w:left w:val="none" w:sz="0" w:space="0" w:color="auto"/>
        <w:bottom w:val="none" w:sz="0" w:space="0" w:color="auto"/>
        <w:right w:val="none" w:sz="0" w:space="0" w:color="auto"/>
      </w:divBdr>
      <w:divsChild>
        <w:div w:id="2007513035">
          <w:marLeft w:val="0"/>
          <w:marRight w:val="0"/>
          <w:marTop w:val="0"/>
          <w:marBottom w:val="0"/>
          <w:divBdr>
            <w:top w:val="none" w:sz="0" w:space="0" w:color="auto"/>
            <w:left w:val="none" w:sz="0" w:space="0" w:color="auto"/>
            <w:bottom w:val="none" w:sz="0" w:space="0" w:color="auto"/>
            <w:right w:val="none" w:sz="0" w:space="0" w:color="auto"/>
          </w:divBdr>
        </w:div>
      </w:divsChild>
    </w:div>
    <w:div w:id="2091924357">
      <w:bodyDiv w:val="1"/>
      <w:marLeft w:val="0"/>
      <w:marRight w:val="0"/>
      <w:marTop w:val="0"/>
      <w:marBottom w:val="0"/>
      <w:divBdr>
        <w:top w:val="none" w:sz="0" w:space="0" w:color="auto"/>
        <w:left w:val="none" w:sz="0" w:space="0" w:color="auto"/>
        <w:bottom w:val="none" w:sz="0" w:space="0" w:color="auto"/>
        <w:right w:val="none" w:sz="0" w:space="0" w:color="auto"/>
      </w:divBdr>
    </w:div>
    <w:div w:id="2097287624">
      <w:bodyDiv w:val="1"/>
      <w:marLeft w:val="0"/>
      <w:marRight w:val="0"/>
      <w:marTop w:val="0"/>
      <w:marBottom w:val="0"/>
      <w:divBdr>
        <w:top w:val="none" w:sz="0" w:space="0" w:color="auto"/>
        <w:left w:val="none" w:sz="0" w:space="0" w:color="auto"/>
        <w:bottom w:val="none" w:sz="0" w:space="0" w:color="auto"/>
        <w:right w:val="none" w:sz="0" w:space="0" w:color="auto"/>
      </w:divBdr>
      <w:divsChild>
        <w:div w:id="1672877624">
          <w:marLeft w:val="0"/>
          <w:marRight w:val="0"/>
          <w:marTop w:val="75"/>
          <w:marBottom w:val="0"/>
          <w:divBdr>
            <w:top w:val="none" w:sz="0" w:space="0" w:color="auto"/>
            <w:left w:val="none" w:sz="0" w:space="0" w:color="auto"/>
            <w:bottom w:val="none" w:sz="0" w:space="0" w:color="auto"/>
            <w:right w:val="none" w:sz="0" w:space="0" w:color="auto"/>
          </w:divBdr>
        </w:div>
      </w:divsChild>
    </w:div>
    <w:div w:id="2107263509">
      <w:bodyDiv w:val="1"/>
      <w:marLeft w:val="0"/>
      <w:marRight w:val="0"/>
      <w:marTop w:val="0"/>
      <w:marBottom w:val="0"/>
      <w:divBdr>
        <w:top w:val="none" w:sz="0" w:space="0" w:color="auto"/>
        <w:left w:val="none" w:sz="0" w:space="0" w:color="auto"/>
        <w:bottom w:val="none" w:sz="0" w:space="0" w:color="auto"/>
        <w:right w:val="none" w:sz="0" w:space="0" w:color="auto"/>
      </w:divBdr>
      <w:divsChild>
        <w:div w:id="1638948805">
          <w:marLeft w:val="0"/>
          <w:marRight w:val="0"/>
          <w:marTop w:val="0"/>
          <w:marBottom w:val="0"/>
          <w:divBdr>
            <w:top w:val="none" w:sz="0" w:space="0" w:color="auto"/>
            <w:left w:val="none" w:sz="0" w:space="0" w:color="auto"/>
            <w:bottom w:val="none" w:sz="0" w:space="0" w:color="auto"/>
            <w:right w:val="none" w:sz="0" w:space="0" w:color="auto"/>
          </w:divBdr>
          <w:divsChild>
            <w:div w:id="17851276">
              <w:marLeft w:val="0"/>
              <w:marRight w:val="0"/>
              <w:marTop w:val="0"/>
              <w:marBottom w:val="0"/>
              <w:divBdr>
                <w:top w:val="none" w:sz="0" w:space="0" w:color="auto"/>
                <w:left w:val="none" w:sz="0" w:space="0" w:color="auto"/>
                <w:bottom w:val="none" w:sz="0" w:space="0" w:color="auto"/>
                <w:right w:val="none" w:sz="0" w:space="0" w:color="auto"/>
              </w:divBdr>
            </w:div>
            <w:div w:id="649675763">
              <w:marLeft w:val="0"/>
              <w:marRight w:val="0"/>
              <w:marTop w:val="0"/>
              <w:marBottom w:val="0"/>
              <w:divBdr>
                <w:top w:val="none" w:sz="0" w:space="0" w:color="auto"/>
                <w:left w:val="none" w:sz="0" w:space="0" w:color="auto"/>
                <w:bottom w:val="none" w:sz="0" w:space="0" w:color="auto"/>
                <w:right w:val="none" w:sz="0" w:space="0" w:color="auto"/>
              </w:divBdr>
            </w:div>
          </w:divsChild>
        </w:div>
        <w:div w:id="2000038201">
          <w:marLeft w:val="0"/>
          <w:marRight w:val="0"/>
          <w:marTop w:val="0"/>
          <w:marBottom w:val="0"/>
          <w:divBdr>
            <w:top w:val="none" w:sz="0" w:space="0" w:color="auto"/>
            <w:left w:val="none" w:sz="0" w:space="0" w:color="auto"/>
            <w:bottom w:val="none" w:sz="0" w:space="0" w:color="auto"/>
            <w:right w:val="none" w:sz="0" w:space="0" w:color="auto"/>
          </w:divBdr>
          <w:divsChild>
            <w:div w:id="763261663">
              <w:marLeft w:val="0"/>
              <w:marRight w:val="0"/>
              <w:marTop w:val="0"/>
              <w:marBottom w:val="0"/>
              <w:divBdr>
                <w:top w:val="none" w:sz="0" w:space="0" w:color="auto"/>
                <w:left w:val="none" w:sz="0" w:space="0" w:color="auto"/>
                <w:bottom w:val="none" w:sz="0" w:space="0" w:color="auto"/>
                <w:right w:val="none" w:sz="0" w:space="0" w:color="auto"/>
              </w:divBdr>
            </w:div>
            <w:div w:id="203438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973999">
      <w:bodyDiv w:val="1"/>
      <w:marLeft w:val="0"/>
      <w:marRight w:val="0"/>
      <w:marTop w:val="0"/>
      <w:marBottom w:val="0"/>
      <w:divBdr>
        <w:top w:val="none" w:sz="0" w:space="0" w:color="auto"/>
        <w:left w:val="none" w:sz="0" w:space="0" w:color="auto"/>
        <w:bottom w:val="none" w:sz="0" w:space="0" w:color="auto"/>
        <w:right w:val="none" w:sz="0" w:space="0" w:color="auto"/>
      </w:divBdr>
      <w:divsChild>
        <w:div w:id="157501669">
          <w:marLeft w:val="0"/>
          <w:marRight w:val="0"/>
          <w:marTop w:val="0"/>
          <w:marBottom w:val="0"/>
          <w:divBdr>
            <w:top w:val="none" w:sz="0" w:space="0" w:color="auto"/>
            <w:left w:val="none" w:sz="0" w:space="0" w:color="auto"/>
            <w:bottom w:val="none" w:sz="0" w:space="0" w:color="auto"/>
            <w:right w:val="none" w:sz="0" w:space="0" w:color="auto"/>
          </w:divBdr>
        </w:div>
        <w:div w:id="236208088">
          <w:marLeft w:val="0"/>
          <w:marRight w:val="0"/>
          <w:marTop w:val="0"/>
          <w:marBottom w:val="0"/>
          <w:divBdr>
            <w:top w:val="none" w:sz="0" w:space="0" w:color="auto"/>
            <w:left w:val="none" w:sz="0" w:space="0" w:color="auto"/>
            <w:bottom w:val="none" w:sz="0" w:space="0" w:color="auto"/>
            <w:right w:val="none" w:sz="0" w:space="0" w:color="auto"/>
          </w:divBdr>
        </w:div>
        <w:div w:id="1815946347">
          <w:marLeft w:val="0"/>
          <w:marRight w:val="0"/>
          <w:marTop w:val="0"/>
          <w:marBottom w:val="0"/>
          <w:divBdr>
            <w:top w:val="none" w:sz="0" w:space="0" w:color="auto"/>
            <w:left w:val="none" w:sz="0" w:space="0" w:color="auto"/>
            <w:bottom w:val="none" w:sz="0" w:space="0" w:color="auto"/>
            <w:right w:val="none" w:sz="0" w:space="0" w:color="auto"/>
          </w:divBdr>
        </w:div>
        <w:div w:id="361130662">
          <w:marLeft w:val="0"/>
          <w:marRight w:val="0"/>
          <w:marTop w:val="0"/>
          <w:marBottom w:val="0"/>
          <w:divBdr>
            <w:top w:val="none" w:sz="0" w:space="0" w:color="auto"/>
            <w:left w:val="none" w:sz="0" w:space="0" w:color="auto"/>
            <w:bottom w:val="none" w:sz="0" w:space="0" w:color="auto"/>
            <w:right w:val="none" w:sz="0" w:space="0" w:color="auto"/>
          </w:divBdr>
          <w:divsChild>
            <w:div w:id="924533615">
              <w:marLeft w:val="0"/>
              <w:marRight w:val="0"/>
              <w:marTop w:val="0"/>
              <w:marBottom w:val="0"/>
              <w:divBdr>
                <w:top w:val="none" w:sz="0" w:space="0" w:color="auto"/>
                <w:left w:val="none" w:sz="0" w:space="0" w:color="auto"/>
                <w:bottom w:val="none" w:sz="0" w:space="0" w:color="auto"/>
                <w:right w:val="none" w:sz="0" w:space="0" w:color="auto"/>
              </w:divBdr>
            </w:div>
            <w:div w:id="396781085">
              <w:marLeft w:val="0"/>
              <w:marRight w:val="0"/>
              <w:marTop w:val="0"/>
              <w:marBottom w:val="0"/>
              <w:divBdr>
                <w:top w:val="none" w:sz="0" w:space="0" w:color="auto"/>
                <w:left w:val="none" w:sz="0" w:space="0" w:color="auto"/>
                <w:bottom w:val="none" w:sz="0" w:space="0" w:color="auto"/>
                <w:right w:val="none" w:sz="0" w:space="0" w:color="auto"/>
              </w:divBdr>
            </w:div>
          </w:divsChild>
        </w:div>
        <w:div w:id="317000771">
          <w:marLeft w:val="0"/>
          <w:marRight w:val="0"/>
          <w:marTop w:val="0"/>
          <w:marBottom w:val="0"/>
          <w:divBdr>
            <w:top w:val="none" w:sz="0" w:space="0" w:color="auto"/>
            <w:left w:val="none" w:sz="0" w:space="0" w:color="auto"/>
            <w:bottom w:val="none" w:sz="0" w:space="0" w:color="auto"/>
            <w:right w:val="none" w:sz="0" w:space="0" w:color="auto"/>
          </w:divBdr>
          <w:divsChild>
            <w:div w:id="416829220">
              <w:marLeft w:val="0"/>
              <w:marRight w:val="0"/>
              <w:marTop w:val="0"/>
              <w:marBottom w:val="0"/>
              <w:divBdr>
                <w:top w:val="none" w:sz="0" w:space="0" w:color="auto"/>
                <w:left w:val="none" w:sz="0" w:space="0" w:color="auto"/>
                <w:bottom w:val="none" w:sz="0" w:space="0" w:color="auto"/>
                <w:right w:val="none" w:sz="0" w:space="0" w:color="auto"/>
              </w:divBdr>
            </w:div>
            <w:div w:id="82635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020357">
      <w:bodyDiv w:val="1"/>
      <w:marLeft w:val="0"/>
      <w:marRight w:val="0"/>
      <w:marTop w:val="0"/>
      <w:marBottom w:val="0"/>
      <w:divBdr>
        <w:top w:val="none" w:sz="0" w:space="0" w:color="auto"/>
        <w:left w:val="none" w:sz="0" w:space="0" w:color="auto"/>
        <w:bottom w:val="none" w:sz="0" w:space="0" w:color="auto"/>
        <w:right w:val="none" w:sz="0" w:space="0" w:color="auto"/>
      </w:divBdr>
      <w:divsChild>
        <w:div w:id="1242789936">
          <w:marLeft w:val="0"/>
          <w:marRight w:val="0"/>
          <w:marTop w:val="0"/>
          <w:marBottom w:val="0"/>
          <w:divBdr>
            <w:top w:val="none" w:sz="0" w:space="0" w:color="auto"/>
            <w:left w:val="none" w:sz="0" w:space="0" w:color="auto"/>
            <w:bottom w:val="none" w:sz="0" w:space="0" w:color="auto"/>
            <w:right w:val="none" w:sz="0" w:space="0" w:color="auto"/>
          </w:divBdr>
          <w:divsChild>
            <w:div w:id="130828272">
              <w:marLeft w:val="0"/>
              <w:marRight w:val="0"/>
              <w:marTop w:val="0"/>
              <w:marBottom w:val="0"/>
              <w:divBdr>
                <w:top w:val="none" w:sz="0" w:space="0" w:color="auto"/>
                <w:left w:val="none" w:sz="0" w:space="0" w:color="auto"/>
                <w:bottom w:val="none" w:sz="0" w:space="0" w:color="auto"/>
                <w:right w:val="none" w:sz="0" w:space="0" w:color="auto"/>
              </w:divBdr>
            </w:div>
            <w:div w:id="129572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wynagrodzenia.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yperlink" Target="http://wynagrodzenia.pl/t/ogolnopolskie-badanie-wynagrodzen-np" TargetMode="External"/><Relationship Id="rId10" Type="http://schemas.openxmlformats.org/officeDocument/2006/relationships/chart" Target="charts/chart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edia@sedlak.pl" TargetMode="Externa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Arkusz1!$B$1</c:f>
              <c:strCache>
                <c:ptCount val="1"/>
                <c:pt idx="0">
                  <c:v>Seria 1</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dLbl>
              <c:idx val="0"/>
              <c:layout>
                <c:manualLayout>
                  <c:x val="-3.2323232323232337E-2"/>
                  <c:y val="-4.761904761904776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34D3-49A5-A738-1923E06A2D1C}"/>
                </c:ext>
                <c:ext xmlns:c15="http://schemas.microsoft.com/office/drawing/2012/chart" uri="{CE6537A1-D6FC-4f65-9D91-7224C49458BB}">
                  <c15:layout/>
                </c:ext>
              </c:extLst>
            </c:dLbl>
            <c:dLbl>
              <c:idx val="4"/>
              <c:layout>
                <c:manualLayout>
                  <c:x val="0"/>
                  <c:y val="1.5873015873015876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34D3-49A5-A738-1923E06A2D1C}"/>
                </c:ext>
                <c:ext xmlns:c15="http://schemas.microsoft.com/office/drawing/2012/chart" uri="{CE6537A1-D6FC-4f65-9D91-7224C49458BB}">
                  <c15:layout/>
                </c:ext>
              </c:extLst>
            </c:dLbl>
            <c:dLbl>
              <c:idx val="5"/>
              <c:layout>
                <c:manualLayout>
                  <c:x val="2.0202020202020202E-3"/>
                  <c:y val="2.380952380952374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34D3-49A5-A738-1923E06A2D1C}"/>
                </c:ext>
                <c:ext xmlns:c15="http://schemas.microsoft.com/office/drawing/2012/chart" uri="{CE6537A1-D6FC-4f65-9D91-7224C49458BB}">
                  <c15:layout/>
                </c:ext>
              </c:extLst>
            </c:dLbl>
            <c:dLbl>
              <c:idx val="6"/>
              <c:layout>
                <c:manualLayout>
                  <c:x val="0"/>
                  <c:y val="1.190476190476183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34D3-49A5-A738-1923E06A2D1C}"/>
                </c:ext>
                <c:ext xmlns:c15="http://schemas.microsoft.com/office/drawing/2012/chart" uri="{CE6537A1-D6FC-4f65-9D91-7224C49458BB}">
                  <c15:layout/>
                </c:ext>
              </c:extLst>
            </c:dLbl>
            <c:dLbl>
              <c:idx val="7"/>
              <c:layout>
                <c:manualLayout>
                  <c:x val="0"/>
                  <c:y val="1.190476190476183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34D3-49A5-A738-1923E06A2D1C}"/>
                </c:ext>
                <c:ext xmlns:c15="http://schemas.microsoft.com/office/drawing/2012/chart" uri="{CE6537A1-D6FC-4f65-9D91-7224C49458BB}">
                  <c15:layout/>
                </c:ext>
              </c:extLst>
            </c:dLbl>
            <c:dLbl>
              <c:idx val="9"/>
              <c:layout>
                <c:manualLayout>
                  <c:x val="0"/>
                  <c:y val="1.984126984126984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34D3-49A5-A738-1923E06A2D1C}"/>
                </c:ext>
                <c:ext xmlns:c15="http://schemas.microsoft.com/office/drawing/2012/chart" uri="{CE6537A1-D6FC-4f65-9D91-7224C49458BB}">
                  <c15:layout/>
                </c:ext>
              </c:extLst>
            </c:dLbl>
            <c:dLbl>
              <c:idx val="10"/>
              <c:layout>
                <c:manualLayout>
                  <c:x val="0"/>
                  <c:y val="-2.380952380952381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34D3-49A5-A738-1923E06A2D1C}"/>
                </c:ext>
                <c:ext xmlns:c15="http://schemas.microsoft.com/office/drawing/2012/chart" uri="{CE6537A1-D6FC-4f65-9D91-7224C49458BB}">
                  <c15:layout/>
                </c:ext>
              </c:extLst>
            </c:dLbl>
            <c:dLbl>
              <c:idx val="11"/>
              <c:layout>
                <c:manualLayout>
                  <c:x val="0"/>
                  <c:y val="4.761904761904755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34D3-49A5-A738-1923E06A2D1C}"/>
                </c:ext>
                <c:ext xmlns:c15="http://schemas.microsoft.com/office/drawing/2012/chart" uri="{CE6537A1-D6FC-4f65-9D91-7224C49458BB}">
                  <c15:layout/>
                </c:ext>
              </c:extLst>
            </c:dLbl>
            <c:dLbl>
              <c:idx val="12"/>
              <c:layout>
                <c:manualLayout>
                  <c:x val="-1.481464367478691E-16"/>
                  <c:y val="-5.9523809523809486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34D3-49A5-A738-1923E06A2D1C}"/>
                </c:ext>
                <c:ext xmlns:c15="http://schemas.microsoft.com/office/drawing/2012/chart" uri="{CE6537A1-D6FC-4f65-9D91-7224C49458BB}">
                  <c15:layout/>
                </c:ext>
              </c:extLst>
            </c:dLbl>
            <c:dLbl>
              <c:idx val="13"/>
              <c:layout>
                <c:manualLayout>
                  <c:x val="0"/>
                  <c:y val="1.1904761904761906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34D3-49A5-A738-1923E06A2D1C}"/>
                </c:ext>
                <c:ext xmlns:c15="http://schemas.microsoft.com/office/drawing/2012/chart" uri="{CE6537A1-D6FC-4f65-9D91-7224C49458BB}">
                  <c15:layout/>
                </c:ext>
              </c:extLst>
            </c:dLbl>
            <c:dLbl>
              <c:idx val="14"/>
              <c:layout>
                <c:manualLayout>
                  <c:x val="-1.4141414141414142E-2"/>
                  <c:y val="-5.952380952380951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A-34D3-49A5-A738-1923E06A2D1C}"/>
                </c:ext>
                <c:ext xmlns:c15="http://schemas.microsoft.com/office/drawing/2012/chart" uri="{CE6537A1-D6FC-4f65-9D91-7224C49458BB}">
                  <c15:layout/>
                </c:ext>
              </c:extLst>
            </c:dLbl>
            <c:dLbl>
              <c:idx val="15"/>
              <c:layout>
                <c:manualLayout>
                  <c:x val="0"/>
                  <c:y val="1.190476190476194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B-34D3-49A5-A738-1923E06A2D1C}"/>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bg1">
                        <a:lumMod val="50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Arkusz1!$A$2:$A$18</c:f>
              <c:numCache>
                <c:formatCode>General</c:formatCode>
                <c:ptCount val="17"/>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numCache>
            </c:numRef>
          </c:cat>
          <c:val>
            <c:numRef>
              <c:f>Arkusz1!$B$2:$B$18</c:f>
              <c:numCache>
                <c:formatCode>#,##0</c:formatCode>
                <c:ptCount val="17"/>
                <c:pt idx="0">
                  <c:v>100</c:v>
                </c:pt>
                <c:pt idx="1">
                  <c:v>100.64157399486741</c:v>
                </c:pt>
                <c:pt idx="2">
                  <c:v>103.01539777587681</c:v>
                </c:pt>
                <c:pt idx="3">
                  <c:v>105.41060735671516</c:v>
                </c:pt>
                <c:pt idx="4">
                  <c:v>107.69888793840887</c:v>
                </c:pt>
                <c:pt idx="5">
                  <c:v>109.68776732249786</c:v>
                </c:pt>
                <c:pt idx="6">
                  <c:v>111.54833190761335</c:v>
                </c:pt>
                <c:pt idx="7">
                  <c:v>112.76732249786143</c:v>
                </c:pt>
                <c:pt idx="8">
                  <c:v>114.43541488451669</c:v>
                </c:pt>
                <c:pt idx="9">
                  <c:v>117.04448246364414</c:v>
                </c:pt>
                <c:pt idx="10">
                  <c:v>118.2848588537211</c:v>
                </c:pt>
                <c:pt idx="11">
                  <c:v>117.77159965782722</c:v>
                </c:pt>
                <c:pt idx="12">
                  <c:v>117.49358426005132</c:v>
                </c:pt>
                <c:pt idx="13">
                  <c:v>118.34901625320789</c:v>
                </c:pt>
                <c:pt idx="14">
                  <c:v>120.57313943541487</c:v>
                </c:pt>
                <c:pt idx="15">
                  <c:v>121.79213002566296</c:v>
                </c:pt>
                <c:pt idx="16">
                  <c:v>124.44396920444828</c:v>
                </c:pt>
              </c:numCache>
            </c:numRef>
          </c:val>
          <c:smooth val="0"/>
          <c:extLst xmlns:c16r2="http://schemas.microsoft.com/office/drawing/2015/06/chart">
            <c:ext xmlns:c16="http://schemas.microsoft.com/office/drawing/2014/chart" uri="{C3380CC4-5D6E-409C-BE32-E72D297353CC}">
              <c16:uniqueId val="{0000000C-34D3-49A5-A738-1923E06A2D1C}"/>
            </c:ext>
          </c:extLst>
        </c:ser>
        <c:dLbls>
          <c:showLegendKey val="0"/>
          <c:showVal val="0"/>
          <c:showCatName val="0"/>
          <c:showSerName val="0"/>
          <c:showPercent val="0"/>
          <c:showBubbleSize val="0"/>
        </c:dLbls>
        <c:marker val="1"/>
        <c:smooth val="0"/>
        <c:axId val="476685968"/>
        <c:axId val="476690280"/>
      </c:lineChart>
      <c:catAx>
        <c:axId val="4766859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bg1">
                    <a:lumMod val="50000"/>
                  </a:schemeClr>
                </a:solidFill>
                <a:latin typeface="+mn-lt"/>
                <a:ea typeface="+mn-ea"/>
                <a:cs typeface="+mn-cs"/>
              </a:defRPr>
            </a:pPr>
            <a:endParaRPr lang="pl-PL"/>
          </a:p>
        </c:txPr>
        <c:crossAx val="476690280"/>
        <c:crosses val="autoZero"/>
        <c:auto val="1"/>
        <c:lblAlgn val="ctr"/>
        <c:lblOffset val="100"/>
        <c:noMultiLvlLbl val="0"/>
      </c:catAx>
      <c:valAx>
        <c:axId val="476690280"/>
        <c:scaling>
          <c:orientation val="minMax"/>
          <c:min val="10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bg1">
                    <a:lumMod val="50000"/>
                  </a:schemeClr>
                </a:solidFill>
                <a:latin typeface="+mn-lt"/>
                <a:ea typeface="+mn-ea"/>
                <a:cs typeface="+mn-cs"/>
              </a:defRPr>
            </a:pPr>
            <a:endParaRPr lang="pl-PL"/>
          </a:p>
        </c:txPr>
        <c:crossAx val="47668596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pl-PL"/>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Arkusz1!$B$1</c:f>
              <c:strCache>
                <c:ptCount val="1"/>
                <c:pt idx="0">
                  <c:v>Seria 1</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400" b="0"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Arkusz1!$A$2:$A$6</c:f>
              <c:strCache>
                <c:ptCount val="5"/>
                <c:pt idx="0">
                  <c:v>hotelarstwo i gastronomia</c:v>
                </c:pt>
                <c:pt idx="1">
                  <c:v>budownictwo</c:v>
                </c:pt>
                <c:pt idx="2">
                  <c:v>transport</c:v>
                </c:pt>
                <c:pt idx="3">
                  <c:v>produkcja</c:v>
                </c:pt>
                <c:pt idx="4">
                  <c:v>finanse i ubezpieczenia</c:v>
                </c:pt>
              </c:strCache>
            </c:strRef>
          </c:cat>
          <c:val>
            <c:numRef>
              <c:f>Arkusz1!$B$2:$B$6</c:f>
              <c:numCache>
                <c:formatCode>#,##0</c:formatCode>
                <c:ptCount val="5"/>
                <c:pt idx="0">
                  <c:v>3750</c:v>
                </c:pt>
                <c:pt idx="1">
                  <c:v>5000</c:v>
                </c:pt>
                <c:pt idx="2">
                  <c:v>5100</c:v>
                </c:pt>
                <c:pt idx="3">
                  <c:v>5550</c:v>
                </c:pt>
                <c:pt idx="4">
                  <c:v>7450</c:v>
                </c:pt>
              </c:numCache>
            </c:numRef>
          </c:val>
          <c:extLst xmlns:c16r2="http://schemas.microsoft.com/office/drawing/2015/06/chart">
            <c:ext xmlns:c16="http://schemas.microsoft.com/office/drawing/2014/chart" uri="{C3380CC4-5D6E-409C-BE32-E72D297353CC}">
              <c16:uniqueId val="{00000000-9003-4840-87EA-0BB418CD8691}"/>
            </c:ext>
          </c:extLst>
        </c:ser>
        <c:dLbls>
          <c:showLegendKey val="0"/>
          <c:showVal val="0"/>
          <c:showCatName val="0"/>
          <c:showSerName val="0"/>
          <c:showPercent val="0"/>
          <c:showBubbleSize val="0"/>
        </c:dLbls>
        <c:gapWidth val="182"/>
        <c:axId val="476687928"/>
        <c:axId val="476686752"/>
      </c:barChart>
      <c:catAx>
        <c:axId val="47668792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pl-PL"/>
          </a:p>
        </c:txPr>
        <c:crossAx val="476686752"/>
        <c:crosses val="autoZero"/>
        <c:auto val="1"/>
        <c:lblAlgn val="ctr"/>
        <c:lblOffset val="100"/>
        <c:noMultiLvlLbl val="0"/>
      </c:catAx>
      <c:valAx>
        <c:axId val="476686752"/>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47668792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pl-PL"/>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Arkusz1!$B$1</c:f>
              <c:strCache>
                <c:ptCount val="1"/>
                <c:pt idx="0">
                  <c:v>zatrudnieni cudzoziemcy</c:v>
                </c:pt>
              </c:strCache>
            </c:strRef>
          </c:tx>
          <c:spPr>
            <a:solidFill>
              <a:schemeClr val="accent1"/>
            </a:solidFill>
            <a:ln>
              <a:noFill/>
            </a:ln>
            <a:effectLst>
              <a:outerShdw blurRad="40000" dist="23000" dir="5400000" rotWithShape="0">
                <a:srgbClr val="000000">
                  <a:alpha val="35000"/>
                </a:srgbClr>
              </a:outerShdw>
            </a:effectLst>
          </c:spPr>
          <c:invertIfNegative val="0"/>
          <c:dPt>
            <c:idx val="10"/>
            <c:invertIfNegative val="0"/>
            <c:bubble3D val="0"/>
            <c:spPr>
              <a:solidFill>
                <a:schemeClr val="accent6"/>
              </a:solidFill>
              <a:ln>
                <a:noFill/>
              </a:ln>
              <a:effectLst>
                <a:outerShdw blurRad="40000" dist="23000" dir="5400000" rotWithShape="0">
                  <a:srgbClr val="000000">
                    <a:alpha val="35000"/>
                  </a:srgbClr>
                </a:outerShdw>
              </a:effectLst>
            </c:spPr>
            <c:extLst xmlns:c16r2="http://schemas.microsoft.com/office/drawing/2015/06/chart">
              <c:ext xmlns:c16="http://schemas.microsoft.com/office/drawing/2014/chart" uri="{C3380CC4-5D6E-409C-BE32-E72D297353CC}">
                <c16:uniqueId val="{00000001-BFFD-499A-9C08-40F37F886B3F}"/>
              </c:ext>
            </c:extLst>
          </c:dPt>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rgbClr val="565350"/>
                    </a:solidFill>
                    <a:latin typeface="Calibri" pitchFamily="34" charset="0"/>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tx2">
                          <a:lumMod val="35000"/>
                          <a:lumOff val="65000"/>
                        </a:schemeClr>
                      </a:solidFill>
                    </a:ln>
                    <a:effectLst/>
                  </c:spPr>
                </c15:leaderLines>
              </c:ext>
            </c:extLst>
          </c:dLbls>
          <c:cat>
            <c:numRef>
              <c:f>Arkusz1!$A$2:$A$8</c:f>
              <c:numCache>
                <c:formatCode>General</c:formatCode>
                <c:ptCount val="7"/>
                <c:pt idx="0">
                  <c:v>2010</c:v>
                </c:pt>
                <c:pt idx="1">
                  <c:v>2011</c:v>
                </c:pt>
                <c:pt idx="2">
                  <c:v>2012</c:v>
                </c:pt>
                <c:pt idx="3">
                  <c:v>2013</c:v>
                </c:pt>
                <c:pt idx="4">
                  <c:v>2014</c:v>
                </c:pt>
                <c:pt idx="5">
                  <c:v>2015</c:v>
                </c:pt>
                <c:pt idx="6">
                  <c:v>2016</c:v>
                </c:pt>
              </c:numCache>
            </c:numRef>
          </c:cat>
          <c:val>
            <c:numRef>
              <c:f>Arkusz1!$B$2:$B$8</c:f>
              <c:numCache>
                <c:formatCode>#,##0</c:formatCode>
                <c:ptCount val="7"/>
                <c:pt idx="0">
                  <c:v>169620</c:v>
                </c:pt>
                <c:pt idx="1">
                  <c:v>177250</c:v>
                </c:pt>
                <c:pt idx="2">
                  <c:v>184755</c:v>
                </c:pt>
                <c:pt idx="3">
                  <c:v>195060</c:v>
                </c:pt>
                <c:pt idx="4">
                  <c:v>212170</c:v>
                </c:pt>
                <c:pt idx="5">
                  <c:v>230810</c:v>
                </c:pt>
                <c:pt idx="6">
                  <c:v>252500</c:v>
                </c:pt>
              </c:numCache>
            </c:numRef>
          </c:val>
          <c:extLst xmlns:c16r2="http://schemas.microsoft.com/office/drawing/2015/06/chart">
            <c:ext xmlns:c16="http://schemas.microsoft.com/office/drawing/2014/chart" uri="{C3380CC4-5D6E-409C-BE32-E72D297353CC}">
              <c16:uniqueId val="{00000002-BFFD-499A-9C08-40F37F886B3F}"/>
            </c:ext>
          </c:extLst>
        </c:ser>
        <c:ser>
          <c:idx val="1"/>
          <c:order val="1"/>
          <c:tx>
            <c:strRef>
              <c:f>Arkusz1!$C$1</c:f>
              <c:strCache>
                <c:ptCount val="1"/>
                <c:pt idx="0">
                  <c:v>cudzoziemcy zatrudnieni na etat</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c:spPr>
          <c:invertIfNegative val="0"/>
          <c:cat>
            <c:numRef>
              <c:f>Arkusz1!$A$2:$A$8</c:f>
              <c:numCache>
                <c:formatCode>General</c:formatCode>
                <c:ptCount val="7"/>
                <c:pt idx="0">
                  <c:v>2010</c:v>
                </c:pt>
                <c:pt idx="1">
                  <c:v>2011</c:v>
                </c:pt>
                <c:pt idx="2">
                  <c:v>2012</c:v>
                </c:pt>
                <c:pt idx="3">
                  <c:v>2013</c:v>
                </c:pt>
                <c:pt idx="4">
                  <c:v>2014</c:v>
                </c:pt>
                <c:pt idx="5">
                  <c:v>2015</c:v>
                </c:pt>
                <c:pt idx="6">
                  <c:v>2016</c:v>
                </c:pt>
              </c:numCache>
            </c:numRef>
          </c:cat>
          <c:val>
            <c:numRef>
              <c:f>Arkusz1!$C$2:$C$8</c:f>
              <c:numCache>
                <c:formatCode>#,##0</c:formatCode>
                <c:ptCount val="7"/>
                <c:pt idx="0">
                  <c:v>104205</c:v>
                </c:pt>
                <c:pt idx="1">
                  <c:v>109385</c:v>
                </c:pt>
                <c:pt idx="2">
                  <c:v>114130</c:v>
                </c:pt>
                <c:pt idx="3">
                  <c:v>119445</c:v>
                </c:pt>
                <c:pt idx="4">
                  <c:v>129729</c:v>
                </c:pt>
                <c:pt idx="5">
                  <c:v>141938</c:v>
                </c:pt>
                <c:pt idx="6">
                  <c:v>153969</c:v>
                </c:pt>
              </c:numCache>
            </c:numRef>
          </c:val>
          <c:extLst xmlns:c16r2="http://schemas.microsoft.com/office/drawing/2015/06/chart">
            <c:ext xmlns:c16="http://schemas.microsoft.com/office/drawing/2014/chart" uri="{C3380CC4-5D6E-409C-BE32-E72D297353CC}">
              <c16:uniqueId val="{00000002-01C8-44D1-AAB7-3D782FB16886}"/>
            </c:ext>
          </c:extLst>
        </c:ser>
        <c:dLbls>
          <c:showLegendKey val="0"/>
          <c:showVal val="0"/>
          <c:showCatName val="0"/>
          <c:showSerName val="0"/>
          <c:showPercent val="0"/>
          <c:showBubbleSize val="0"/>
        </c:dLbls>
        <c:gapWidth val="100"/>
        <c:overlap val="-24"/>
        <c:axId val="476697336"/>
        <c:axId val="476696552"/>
      </c:barChart>
      <c:catAx>
        <c:axId val="476697336"/>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rgbClr val="565350"/>
                </a:solidFill>
                <a:latin typeface="Calibri" pitchFamily="34" charset="0"/>
                <a:ea typeface="+mn-ea"/>
                <a:cs typeface="+mn-cs"/>
              </a:defRPr>
            </a:pPr>
            <a:endParaRPr lang="pl-PL"/>
          </a:p>
        </c:txPr>
        <c:crossAx val="476696552"/>
        <c:crosses val="autoZero"/>
        <c:auto val="1"/>
        <c:lblAlgn val="ctr"/>
        <c:lblOffset val="100"/>
        <c:noMultiLvlLbl val="0"/>
      </c:catAx>
      <c:valAx>
        <c:axId val="476696552"/>
        <c:scaling>
          <c:orientation val="minMax"/>
        </c:scaling>
        <c:delete val="0"/>
        <c:axPos val="l"/>
        <c:majorGridlines>
          <c:spPr>
            <a:ln w="9525" cap="flat" cmpd="sng" algn="ctr">
              <a:solidFill>
                <a:schemeClr val="tx2">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rgbClr val="565350"/>
                </a:solidFill>
                <a:latin typeface="Calibri" pitchFamily="34" charset="0"/>
                <a:ea typeface="+mn-ea"/>
                <a:cs typeface="+mn-cs"/>
              </a:defRPr>
            </a:pPr>
            <a:endParaRPr lang="pl-PL"/>
          </a:p>
        </c:txPr>
        <c:crossAx val="476697336"/>
        <c:crosses val="autoZero"/>
        <c:crossBetween val="between"/>
      </c:valAx>
      <c:spPr>
        <a:noFill/>
        <a:ln>
          <a:noFill/>
        </a:ln>
        <a:effectLst/>
      </c:spPr>
    </c:plotArea>
    <c:legend>
      <c:legendPos val="b"/>
      <c:legendEntry>
        <c:idx val="0"/>
        <c:txPr>
          <a:bodyPr rot="0" spcFirstLastPara="1" vertOverflow="ellipsis" vert="horz" wrap="square" anchor="ctr" anchorCtr="1"/>
          <a:lstStyle/>
          <a:p>
            <a:pPr>
              <a:defRPr sz="1200" b="0" i="0" u="none" strike="noStrike" kern="1200" baseline="0">
                <a:solidFill>
                  <a:schemeClr val="bg1">
                    <a:lumMod val="50000"/>
                  </a:schemeClr>
                </a:solidFill>
                <a:latin typeface="+mn-lt"/>
                <a:ea typeface="+mn-ea"/>
                <a:cs typeface="+mn-cs"/>
              </a:defRPr>
            </a:pPr>
            <a:endParaRPr lang="pl-PL"/>
          </a:p>
        </c:txPr>
      </c:legendEntry>
      <c:legendEntry>
        <c:idx val="1"/>
        <c:txPr>
          <a:bodyPr rot="0" spcFirstLastPara="1" vertOverflow="ellipsis" vert="horz" wrap="square" anchor="ctr" anchorCtr="1"/>
          <a:lstStyle/>
          <a:p>
            <a:pPr>
              <a:defRPr sz="1200" b="0" i="0" u="none" strike="noStrike" kern="1200" baseline="0">
                <a:solidFill>
                  <a:schemeClr val="bg1">
                    <a:lumMod val="50000"/>
                  </a:schemeClr>
                </a:solidFill>
                <a:latin typeface="+mn-lt"/>
                <a:ea typeface="+mn-ea"/>
                <a:cs typeface="+mn-cs"/>
              </a:defRPr>
            </a:pPr>
            <a:endParaRPr lang="pl-PL"/>
          </a:p>
        </c:txPr>
      </c:legendEntry>
      <c:layout/>
      <c:overlay val="0"/>
      <c:spPr>
        <a:noFill/>
        <a:ln>
          <a:noFill/>
        </a:ln>
        <a:effectLst/>
      </c:spPr>
      <c:txPr>
        <a:bodyPr rot="0" spcFirstLastPara="1" vertOverflow="ellipsis" vert="horz" wrap="square" anchor="ctr" anchorCtr="1"/>
        <a:lstStyle/>
        <a:p>
          <a:pPr>
            <a:defRPr sz="1200" b="0" i="0" u="none" strike="noStrike" kern="1200" baseline="0">
              <a:solidFill>
                <a:schemeClr val="bg1">
                  <a:lumMod val="50000"/>
                </a:schemeClr>
              </a:solidFill>
              <a:latin typeface="+mn-lt"/>
              <a:ea typeface="+mn-ea"/>
              <a:cs typeface="+mn-cs"/>
            </a:defRPr>
          </a:pPr>
          <a:endParaRPr lang="pl-PL"/>
        </a:p>
      </c:txPr>
    </c:legend>
    <c:plotVisOnly val="1"/>
    <c:dispBlanksAs val="gap"/>
    <c:showDLblsOverMax val="0"/>
  </c:chart>
  <c:spPr>
    <a:solidFill>
      <a:schemeClr val="bg1"/>
    </a:solidFill>
    <a:ln w="9525" cap="flat" cmpd="sng" algn="ctr">
      <a:noFill/>
      <a:round/>
    </a:ln>
    <a:effectLst/>
  </c:spPr>
  <c:txPr>
    <a:bodyPr/>
    <a:lstStyle/>
    <a:p>
      <a:pPr>
        <a:defRPr/>
      </a:pPr>
      <a:endParaRPr lang="pl-PL"/>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Sedlakowy">
    <a:dk1>
      <a:sysClr val="windowText" lastClr="000000"/>
    </a:dk1>
    <a:lt1>
      <a:sysClr val="window" lastClr="FFFFFF"/>
    </a:lt1>
    <a:dk2>
      <a:srgbClr val="1F497D"/>
    </a:dk2>
    <a:lt2>
      <a:srgbClr val="EEECE1"/>
    </a:lt2>
    <a:accent1>
      <a:srgbClr val="39417B"/>
    </a:accent1>
    <a:accent2>
      <a:srgbClr val="77C3D8"/>
    </a:accent2>
    <a:accent3>
      <a:srgbClr val="60B9B1"/>
    </a:accent3>
    <a:accent4>
      <a:srgbClr val="8585B0"/>
    </a:accent4>
    <a:accent5>
      <a:srgbClr val="EB605B"/>
    </a:accent5>
    <a:accent6>
      <a:srgbClr val="A5A88C"/>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Sedlakowy">
    <a:dk1>
      <a:sysClr val="windowText" lastClr="000000"/>
    </a:dk1>
    <a:lt1>
      <a:sysClr val="window" lastClr="FFFFFF"/>
    </a:lt1>
    <a:dk2>
      <a:srgbClr val="1F497D"/>
    </a:dk2>
    <a:lt2>
      <a:srgbClr val="EEECE1"/>
    </a:lt2>
    <a:accent1>
      <a:srgbClr val="39417B"/>
    </a:accent1>
    <a:accent2>
      <a:srgbClr val="77C3D8"/>
    </a:accent2>
    <a:accent3>
      <a:srgbClr val="60B9B1"/>
    </a:accent3>
    <a:accent4>
      <a:srgbClr val="8585B0"/>
    </a:accent4>
    <a:accent5>
      <a:srgbClr val="EB605B"/>
    </a:accent5>
    <a:accent6>
      <a:srgbClr val="A5A88C"/>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Sedlakowy">
    <a:dk1>
      <a:sysClr val="windowText" lastClr="000000"/>
    </a:dk1>
    <a:lt1>
      <a:sysClr val="window" lastClr="FFFFFF"/>
    </a:lt1>
    <a:dk2>
      <a:srgbClr val="1F497D"/>
    </a:dk2>
    <a:lt2>
      <a:srgbClr val="EEECE1"/>
    </a:lt2>
    <a:accent1>
      <a:srgbClr val="39417B"/>
    </a:accent1>
    <a:accent2>
      <a:srgbClr val="77C3D8"/>
    </a:accent2>
    <a:accent3>
      <a:srgbClr val="60B9B1"/>
    </a:accent3>
    <a:accent4>
      <a:srgbClr val="8585B0"/>
    </a:accent4>
    <a:accent5>
      <a:srgbClr val="EB605B"/>
    </a:accent5>
    <a:accent6>
      <a:srgbClr val="A5A88C"/>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7B7E36-980B-4A0A-A25B-EDEF86BFC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958</Words>
  <Characters>5749</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23</vt:lpstr>
    </vt:vector>
  </TitlesOfParts>
  <Company>Hewlett-Packard</Company>
  <LinksUpToDate>false</LinksUpToDate>
  <CharactersWithSpaces>6694</CharactersWithSpaces>
  <SharedDoc>false</SharedDoc>
  <HLinks>
    <vt:vector size="36" baseType="variant">
      <vt:variant>
        <vt:i4>1048592</vt:i4>
      </vt:variant>
      <vt:variant>
        <vt:i4>15</vt:i4>
      </vt:variant>
      <vt:variant>
        <vt:i4>0</vt:i4>
      </vt:variant>
      <vt:variant>
        <vt:i4>5</vt:i4>
      </vt:variant>
      <vt:variant>
        <vt:lpwstr>http://www.wynagrodzenia.pl/</vt:lpwstr>
      </vt:variant>
      <vt:variant>
        <vt:lpwstr/>
      </vt:variant>
      <vt:variant>
        <vt:i4>262217</vt:i4>
      </vt:variant>
      <vt:variant>
        <vt:i4>12</vt:i4>
      </vt:variant>
      <vt:variant>
        <vt:i4>0</vt:i4>
      </vt:variant>
      <vt:variant>
        <vt:i4>5</vt:i4>
      </vt:variant>
      <vt:variant>
        <vt:lpwstr>http://www.wynagrodzenia.pl/obw.php/p.118</vt:lpwstr>
      </vt:variant>
      <vt:variant>
        <vt:lpwstr/>
      </vt:variant>
      <vt:variant>
        <vt:i4>262217</vt:i4>
      </vt:variant>
      <vt:variant>
        <vt:i4>9</vt:i4>
      </vt:variant>
      <vt:variant>
        <vt:i4>0</vt:i4>
      </vt:variant>
      <vt:variant>
        <vt:i4>5</vt:i4>
      </vt:variant>
      <vt:variant>
        <vt:lpwstr>http://www.wynagrodzenia.pl/obw.php/p.118</vt:lpwstr>
      </vt:variant>
      <vt:variant>
        <vt:lpwstr/>
      </vt:variant>
      <vt:variant>
        <vt:i4>6684737</vt:i4>
      </vt:variant>
      <vt:variant>
        <vt:i4>6</vt:i4>
      </vt:variant>
      <vt:variant>
        <vt:i4>0</vt:i4>
      </vt:variant>
      <vt:variant>
        <vt:i4>5</vt:i4>
      </vt:variant>
      <vt:variant>
        <vt:lpwstr>http://wynagrodzenia.pl/raporty_1.php/wpis.97</vt:lpwstr>
      </vt:variant>
      <vt:variant>
        <vt:lpwstr/>
      </vt:variant>
      <vt:variant>
        <vt:i4>6684737</vt:i4>
      </vt:variant>
      <vt:variant>
        <vt:i4>3</vt:i4>
      </vt:variant>
      <vt:variant>
        <vt:i4>0</vt:i4>
      </vt:variant>
      <vt:variant>
        <vt:i4>5</vt:i4>
      </vt:variant>
      <vt:variant>
        <vt:lpwstr>http://wynagrodzenia.pl/raporty_1.php/wpis.97</vt:lpwstr>
      </vt:variant>
      <vt:variant>
        <vt:lpwstr/>
      </vt:variant>
      <vt:variant>
        <vt:i4>4063252</vt:i4>
      </vt:variant>
      <vt:variant>
        <vt:i4>0</vt:i4>
      </vt:variant>
      <vt:variant>
        <vt:i4>0</vt:i4>
      </vt:variant>
      <vt:variant>
        <vt:i4>5</vt:i4>
      </vt:variant>
      <vt:variant>
        <vt:lpwstr>mailto:witek@sedlak.pl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dc:title>
  <dc:creator>Małgorzata Sikora</dc:creator>
  <cp:lastModifiedBy>Kamil Preidl</cp:lastModifiedBy>
  <cp:revision>3</cp:revision>
  <cp:lastPrinted>2016-12-19T13:09:00Z</cp:lastPrinted>
  <dcterms:created xsi:type="dcterms:W3CDTF">2017-02-08T13:22:00Z</dcterms:created>
  <dcterms:modified xsi:type="dcterms:W3CDTF">2017-11-03T14:03:00Z</dcterms:modified>
</cp:coreProperties>
</file>